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054E1">
      <w:pPr>
        <w:jc w:val="center"/>
      </w:pPr>
      <w:r>
        <w:rPr>
          <w:rFonts w:hint="eastAsia" w:ascii="微软雅黑" w:hAnsi="微软雅黑" w:eastAsia="微软雅黑"/>
          <w:b/>
          <w:bCs/>
          <w:color w:val="C00000"/>
          <w:sz w:val="32"/>
          <w:szCs w:val="32"/>
        </w:rPr>
        <w:t>大数据背景下的供应链与物流管理</w:t>
      </w:r>
      <w:r>
        <w:rPr>
          <w:rFonts w:hint="eastAsia" w:ascii="微软雅黑" w:hAnsi="微软雅黑" w:eastAsia="微软雅黑"/>
          <w:b/>
          <w:bCs/>
          <w:color w:val="C00000"/>
          <w:szCs w:val="21"/>
        </w:rPr>
        <w:t>（</w:t>
      </w:r>
      <w:r>
        <w:rPr>
          <w:rFonts w:ascii="微软雅黑" w:hAnsi="微软雅黑" w:eastAsia="微软雅黑"/>
          <w:b/>
          <w:bCs/>
          <w:color w:val="C00000"/>
          <w:szCs w:val="21"/>
        </w:rPr>
        <w:t>2</w:t>
      </w:r>
      <w:r>
        <w:rPr>
          <w:rFonts w:hint="eastAsia" w:ascii="微软雅黑" w:hAnsi="微软雅黑" w:eastAsia="微软雅黑"/>
          <w:b/>
          <w:bCs/>
          <w:color w:val="C00000"/>
          <w:szCs w:val="21"/>
        </w:rPr>
        <w:t>天</w:t>
      </w:r>
      <w:r>
        <w:rPr>
          <w:rFonts w:ascii="微软雅黑" w:hAnsi="微软雅黑" w:eastAsia="微软雅黑"/>
          <w:b/>
          <w:bCs/>
          <w:color w:val="C00000"/>
          <w:szCs w:val="21"/>
        </w:rPr>
        <w:t>）</w:t>
      </w:r>
      <w:r>
        <mc:AlternateContent>
          <mc:Choice Requires="wps">
            <w:drawing>
              <wp:anchor distT="0" distB="0" distL="114300" distR="114300" simplePos="0" relativeHeight="251661312" behindDoc="0" locked="0" layoutInCell="1" allowOverlap="1">
                <wp:simplePos x="0" y="0"/>
                <wp:positionH relativeFrom="margin">
                  <wp:posOffset>2657475</wp:posOffset>
                </wp:positionH>
                <wp:positionV relativeFrom="margin">
                  <wp:posOffset>10346690</wp:posOffset>
                </wp:positionV>
                <wp:extent cx="2332355" cy="240665"/>
                <wp:effectExtent l="0" t="0" r="4445" b="13335"/>
                <wp:wrapSquare wrapText="bothSides"/>
                <wp:docPr id="20" name="矩形 1"/>
                <wp:cNvGraphicFramePr/>
                <a:graphic xmlns:a="http://schemas.openxmlformats.org/drawingml/2006/main">
                  <a:graphicData uri="http://schemas.microsoft.com/office/word/2010/wordprocessingShape">
                    <wps:wsp>
                      <wps:cNvSpPr/>
                      <wps:spPr>
                        <a:xfrm>
                          <a:off x="0" y="0"/>
                          <a:ext cx="2332355" cy="240665"/>
                        </a:xfrm>
                        <a:custGeom>
                          <a:avLst/>
                          <a:gdLst>
                            <a:gd name="connsiteX0" fmla="*/ 194949 w 2332355"/>
                            <a:gd name="connsiteY0" fmla="*/ 0 h 240665"/>
                            <a:gd name="connsiteX1" fmla="*/ 2183824 w 2332355"/>
                            <a:gd name="connsiteY1" fmla="*/ 0 h 240665"/>
                            <a:gd name="connsiteX2" fmla="*/ 2332355 w 2332355"/>
                            <a:gd name="connsiteY2" fmla="*/ 240665 h 240665"/>
                            <a:gd name="connsiteX3" fmla="*/ 0 w 2332355"/>
                            <a:gd name="connsiteY3" fmla="*/ 240665 h 240665"/>
                            <a:gd name="connsiteX4" fmla="*/ 194949 w 2332355"/>
                            <a:gd name="connsiteY4" fmla="*/ 0 h 240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355" h="240665">
                              <a:moveTo>
                                <a:pt x="194949" y="0"/>
                              </a:moveTo>
                              <a:lnTo>
                                <a:pt x="2183824" y="0"/>
                              </a:lnTo>
                              <a:lnTo>
                                <a:pt x="2332355" y="240665"/>
                              </a:lnTo>
                              <a:lnTo>
                                <a:pt x="0" y="240665"/>
                              </a:lnTo>
                              <a:lnTo>
                                <a:pt x="194949" y="0"/>
                              </a:lnTo>
                              <a:close/>
                            </a:path>
                          </a:pathLst>
                        </a:custGeom>
                        <a:solidFill>
                          <a:srgbClr val="4C5C74"/>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 1" o:spid="_x0000_s1026" o:spt="100" style="position:absolute;left:0pt;margin-left:209.25pt;margin-top:814.7pt;height:18.95pt;width:183.65pt;mso-position-horizontal-relative:margin;mso-position-vertical-relative:margin;mso-wrap-distance-bottom:0pt;mso-wrap-distance-left:9pt;mso-wrap-distance-right:9pt;mso-wrap-distance-top:0pt;z-index:251661312;v-text-anchor:middle;mso-width-relative:page;mso-height-relative:page;" fillcolor="#4C5C74" filled="t" stroked="f" coordsize="2332355,240665" o:gfxdata="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CSNQwQ2gAAAA0BAAAPAAAAAAAAAAEAIAAAACIAAABkcnMvZG93bnJl&#10;di54bWxQSwECFAAUAAAACACHTuJAmxrV9ooDAABkCQAADgAAAAAAAAABACAAAAApAQAAZHJzL2Uy&#10;b0RvYy54bWxQSwUGAAAAAAYABgBZAQAAJQcAAAAA&#10;" path="m194949,0l2183824,0,2332355,240665,0,240665,194949,0xe">
                <v:path o:connectlocs="194949,0;2183824,0;2332355,240665;0,240665;194949,0" o:connectangles="0,0,0,0,0"/>
                <v:fill on="t" focussize="0,0"/>
                <v:stroke on="f" weight="1pt" miterlimit="8" joinstyle="miter"/>
                <v:imagedata o:title=""/>
                <o:lock v:ext="edit" aspectratio="f"/>
                <w10:wrap type="square"/>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10514330</wp:posOffset>
                </wp:positionV>
                <wp:extent cx="7559675" cy="186055"/>
                <wp:effectExtent l="0" t="0" r="9525" b="18415"/>
                <wp:wrapNone/>
                <wp:docPr id="19" name="矩形 18"/>
                <wp:cNvGraphicFramePr/>
                <a:graphic xmlns:a="http://schemas.openxmlformats.org/drawingml/2006/main">
                  <a:graphicData uri="http://schemas.microsoft.com/office/word/2010/wordprocessingShape">
                    <wps:wsp>
                      <wps:cNvSpPr/>
                      <wps:spPr>
                        <a:xfrm>
                          <a:off x="0" y="0"/>
                          <a:ext cx="7559675" cy="186055"/>
                        </a:xfrm>
                        <a:prstGeom prst="rect">
                          <a:avLst/>
                        </a:prstGeom>
                        <a:solidFill>
                          <a:srgbClr val="44546B"/>
                        </a:solidFill>
                        <a:ln>
                          <a:noFill/>
                        </a:ln>
                        <a:effectLst/>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007E38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8" o:spid="_x0000_s1026" o:spt="1" style="position:absolute;left:0pt;margin-left:0pt;margin-top:827.9pt;height:14.65pt;width:595.25pt;z-index:251660288;v-text-anchor:middle;mso-width-relative:page;mso-height-relative:page;" fillcolor="#44546B" filled="t" stroked="f" coordsize="21600,21600" o:gfxdata="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5FalndgAAAALAQAADwAA&#10;AAAAAAABACAAAAAiAAAAZHJzL2Rvd25yZXYueG1sUEsBAhQAFAAAAAgAh07iQOaMaovBAgAAdQUA&#10;AA4AAAAAAAAAAQAgAAAAJwEAAGRycy9lMm9Eb2MueG1sUEsFBgAAAAAGAAYAWQEAAFoGAAAAAA==&#10;">
                <v:fill on="t" focussize="0,0"/>
                <v:stroke on="f" weight="1pt" miterlimit="8" joinstyle="miter"/>
                <v:imagedata o:title=""/>
                <o:lock v:ext="edit" aspectratio="f"/>
                <v:textbox>
                  <w:txbxContent>
                    <w:p w14:paraId="007E3897">
                      <w:pPr>
                        <w:jc w:val="center"/>
                      </w:pPr>
                    </w:p>
                  </w:txbxContent>
                </v:textbox>
              </v:rect>
            </w:pict>
          </mc:Fallback>
        </mc:AlternateContent>
      </w:r>
    </w:p>
    <w:p w14:paraId="30C4F090">
      <w:pPr>
        <w:tabs>
          <w:tab w:val="left" w:pos="2016"/>
        </w:tabs>
        <w:jc w:val="left"/>
        <w:rPr>
          <w:sz w:val="20"/>
          <w:szCs w:val="20"/>
        </w:rPr>
      </w:pPr>
      <w:r>
        <w:rPr>
          <w:sz w:val="20"/>
          <w:szCs w:val="20"/>
        </w:rPr>
        <mc:AlternateContent>
          <mc:Choice Requires="wpg">
            <w:drawing>
              <wp:anchor distT="0" distB="0" distL="114300" distR="114300" simplePos="0" relativeHeight="251659264" behindDoc="0" locked="0" layoutInCell="1" allowOverlap="1">
                <wp:simplePos x="0" y="0"/>
                <wp:positionH relativeFrom="column">
                  <wp:posOffset>-36195</wp:posOffset>
                </wp:positionH>
                <wp:positionV relativeFrom="paragraph">
                  <wp:posOffset>226060</wp:posOffset>
                </wp:positionV>
                <wp:extent cx="173355" cy="173355"/>
                <wp:effectExtent l="0" t="0" r="0" b="0"/>
                <wp:wrapNone/>
                <wp:docPr id="15" name="组合 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2" name="椭圆 16"/>
                        <wps:cNvSpPr/>
                        <wps:spPr>
                          <a:xfrm>
                            <a:off x="0" y="0"/>
                            <a:ext cx="173355" cy="173355"/>
                          </a:xfrm>
                          <a:prstGeom prst="ellipse">
                            <a:avLst/>
                          </a:prstGeom>
                          <a:solidFill>
                            <a:srgbClr val="C00000"/>
                          </a:solidFill>
                          <a:ln w="25400">
                            <a:noFill/>
                          </a:ln>
                        </wps:spPr>
                        <wps:bodyPr anchor="ctr" upright="1"/>
                      </wps:wsp>
                      <wps:wsp>
                        <wps:cNvPr id="13" name="Freeform 57"/>
                        <wps:cNvSpPr>
                          <a:spLocks noEditPoints="1"/>
                        </wps:cNvSpPr>
                        <wps:spPr>
                          <a:xfrm flipH="1">
                            <a:off x="36214" y="20683"/>
                            <a:ext cx="98187" cy="125767"/>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0" b="0"/>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bg1"/>
                          </a:solidFill>
                          <a:ln w="9525">
                            <a:noFill/>
                          </a:ln>
                        </wps:spPr>
                        <wps:bodyPr wrap="square" anchor="t" upright="1"/>
                      </wps:wsp>
                    </wpg:wgp>
                  </a:graphicData>
                </a:graphic>
              </wp:anchor>
            </w:drawing>
          </mc:Choice>
          <mc:Fallback>
            <w:pict>
              <v:group id="组合 7" o:spid="_x0000_s1026" o:spt="203" style="position:absolute;left:0pt;margin-left:-2.85pt;margin-top:17.8pt;height:13.65pt;width:13.65pt;z-index:251659264;mso-width-relative:page;mso-height-relative:page;" coordsize="173355,173355" o:gfxdata="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Au/dgHYAAAABwEAAA8A&#10;AAAAAAAAAQAgAAAAIgAAAGRycy9kb3ducmV2LnhtbFBLAQIUABQAAAAIAIdO4kCR8r8U3wMAAOYM&#10;AAAOAAAAAAAAAAEAIAAAACcBAABkcnMvZTJvRG9jLnhtbFBLBQYAAAAABgAGAFkBAAB4BwAAAAA=&#10;">
                <o:lock v:ext="edit" aspectratio="f"/>
                <v:shape id="椭圆 16" o:spid="_x0000_s1026" o:spt="3" type="#_x0000_t3" style="position:absolute;left:0;top:0;height:173355;width:173355;v-text-anchor:middle;" fillcolor="#C00000" filled="t" stroked="f" coordsize="21600,21600" o:gfxdata="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5SmZ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57" o:spid="_x0000_s1026" o:spt="100" style="position:absolute;left:36214;top:20683;flip:x;height:125767;width:98187;" fillcolor="#FFFFFF [3212]" filled="t" stroked="f" coordsize="82,109" o:gfxdata="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MoG5AAAA2wAA&#10;AA8AAAAAAAAAAQAgAAAAIgAAAGRycy9kb3ducmV2LnhtbFBLAQIUABQAAAAIAIdO4kAzLwWeOwAA&#10;ADkAAAAQAAAAAAAAAAEAIAAAAAgBAABkcnMvc2hhcGV4bWwueG1sUEsFBgAAAAAGAAYAWwEAALID&#10;AAAAAA==&#10;" path="m41,109c41,109,0,64,0,41c0,19,18,0,41,0c63,0,82,19,82,41c82,64,41,109,41,109xm41,14c26,14,13,26,13,41c13,56,26,69,41,69c56,69,68,56,68,41c68,26,56,14,41,14xm41,14c41,14,41,14,41,14e">
                  <v:path o:connectlocs="41,109;0,41;41,0;82,41;41,109;41,14;13,41;41,69;68,41;41,14;41,14;41,14" o:connectangles="0,0,0,0,0,0,0,0,0,0,0,0"/>
                  <v:fill on="t" focussize="0,0"/>
                  <v:stroke on="f"/>
                  <v:imagedata o:title=""/>
                  <o:lock v:ext="edit" aspectratio="f"/>
                </v:shape>
              </v:group>
            </w:pict>
          </mc:Fallback>
        </mc:AlternateContent>
      </w:r>
    </w:p>
    <w:p w14:paraId="0E4DA054">
      <w:pPr>
        <w:adjustRightInd w:val="0"/>
        <w:snapToGrid w:val="0"/>
        <w:spacing w:line="360" w:lineRule="auto"/>
        <w:ind w:left="424" w:leftChars="202"/>
        <w:jc w:val="left"/>
        <w:rPr>
          <w:rFonts w:hint="eastAsia" w:ascii="微软雅黑" w:hAnsi="微软雅黑" w:eastAsia="微软雅黑"/>
          <w:bCs/>
          <w:sz w:val="20"/>
          <w:szCs w:val="20"/>
        </w:rPr>
      </w:pPr>
      <w:r>
        <w:rPr>
          <w:sz w:val="20"/>
          <w:szCs w:val="20"/>
        </w:rPr>
        <mc:AlternateContent>
          <mc:Choice Requires="wpg">
            <w:drawing>
              <wp:anchor distT="0" distB="0" distL="114300" distR="114300" simplePos="0" relativeHeight="251662336" behindDoc="0" locked="0" layoutInCell="1" allowOverlap="1">
                <wp:simplePos x="0" y="0"/>
                <wp:positionH relativeFrom="column">
                  <wp:posOffset>-34925</wp:posOffset>
                </wp:positionH>
                <wp:positionV relativeFrom="paragraph">
                  <wp:posOffset>370840</wp:posOffset>
                </wp:positionV>
                <wp:extent cx="173355" cy="173355"/>
                <wp:effectExtent l="0" t="0" r="0" b="0"/>
                <wp:wrapNone/>
                <wp:docPr id="51"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38" name="椭圆 13"/>
                        <wps:cNvSpPr/>
                        <wps:spPr>
                          <a:xfrm>
                            <a:off x="0" y="0"/>
                            <a:ext cx="173355" cy="173355"/>
                          </a:xfrm>
                          <a:prstGeom prst="ellipse">
                            <a:avLst/>
                          </a:prstGeom>
                          <a:solidFill>
                            <a:srgbClr val="C00000"/>
                          </a:solidFill>
                          <a:ln w="25400">
                            <a:noFill/>
                          </a:ln>
                        </wps:spPr>
                        <wps:bodyPr anchor="ctr" upright="1"/>
                      </wps:wsp>
                      <wps:wsp>
                        <wps:cNvPr id="5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id="组合 84" o:spid="_x0000_s1026" o:spt="203" style="position:absolute;left:0pt;margin-left:-2.75pt;margin-top:29.2pt;height:13.65pt;width:13.65pt;z-index:251662336;mso-width-relative:page;mso-height-relative:page;" coordsize="173355,173355" o:gfxdata="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">
                <o:lock v:ext="edit" aspectratio="f"/>
                <v:shape id="椭圆 13" o:spid="_x0000_s1026" o:spt="3" type="#_x0000_t3" style="position:absolute;left:0;top:0;height:173355;width:173355;v-text-anchor:middle;" fillcolor="#C00000" filled="t" stroked="f" coordsize="21600,21600" o:gfxdata="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uEITugAAANsA&#10;AAAPAAAAAAAAAAEAIAAAACIAAABkcnMvZG93bnJldi54bWxQSwECFAAUAAAACACHTuJAMy8FnjsA&#10;AAA5AAAAEAAAAAAAAAABACAAAAAJAQAAZHJzL3NoYXBleG1sLnhtbFBLBQYAAAAABgAGAFsBAACz&#10;AwAAAAA=&#10;">
                  <v:fill on="t" focussize="0,0"/>
                  <v:stroke on="f" weight="2pt"/>
                  <v:imagedata o:title=""/>
                  <o:lock v:ext="edit" aspectratio="f"/>
                </v:shape>
                <v:shape id="Freeform 148" o:spid="_x0000_s1026" o:spt="100" style="position:absolute;left:19634;top:39269;height:104669;width:129026;" fillcolor="#FFFFFF [3212]" filled="t" stroked="f" coordsize="228,185" o:gfxdata="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tFqhvQAA&#10;ANsAAAAPAAAAAAAAAAEAIAAAACIAAABkcnMvZG93bnJldi54bWxQSwECFAAUAAAACACHTuJAMy8F&#10;njsAAAA5AAAAEAAAAAAAAAABACAAAAAMAQAAZHJzL3NoYXBleG1sLnhtbFBLBQYAAAAABgAGAFsB&#10;AAC2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t" focussize="0,0"/>
                  <v:stroke on="f"/>
                  <v:imagedata o:title=""/>
                  <o:lock v:ext="edit" aspectratio="t"/>
                </v:shape>
              </v:group>
            </w:pict>
          </mc:Fallback>
        </mc:AlternateContent>
      </w:r>
      <w:r>
        <w:rPr>
          <w:rFonts w:hint="eastAsia" w:ascii="微软雅黑" w:hAnsi="微软雅黑" w:eastAsia="微软雅黑"/>
          <w:b/>
          <w:bCs/>
          <w:sz w:val="20"/>
          <w:szCs w:val="20"/>
        </w:rPr>
        <w:t>开课时间</w:t>
      </w:r>
      <w:r>
        <w:rPr>
          <w:rFonts w:ascii="微软雅黑" w:hAnsi="微软雅黑" w:eastAsia="微软雅黑"/>
          <w:sz w:val="20"/>
          <w:szCs w:val="20"/>
        </w:rPr>
        <w:t>：</w:t>
      </w:r>
      <w:r>
        <w:rPr>
          <w:rFonts w:hint="eastAsia" w:ascii="微软雅黑" w:hAnsi="微软雅黑" w:eastAsia="微软雅黑"/>
          <w:bCs/>
          <w:sz w:val="20"/>
          <w:szCs w:val="20"/>
        </w:rPr>
        <w:t>上海：9月25-26</w:t>
      </w:r>
    </w:p>
    <w:p w14:paraId="530C6C17">
      <w:pPr>
        <w:tabs>
          <w:tab w:val="left" w:pos="7320"/>
        </w:tabs>
        <w:adjustRightInd w:val="0"/>
        <w:snapToGrid w:val="0"/>
        <w:spacing w:line="360" w:lineRule="auto"/>
        <w:ind w:left="424" w:leftChars="202"/>
        <w:jc w:val="left"/>
        <w:rPr>
          <w:rFonts w:hint="eastAsia" w:ascii="微软雅黑" w:hAnsi="微软雅黑" w:eastAsia="微软雅黑"/>
          <w:bCs/>
          <w:sz w:val="20"/>
          <w:szCs w:val="20"/>
        </w:rPr>
      </w:pPr>
      <w:r>
        <w:rPr>
          <w:rFonts w:hint="eastAsia" w:ascii="微软雅黑" w:hAnsi="微软雅黑" w:eastAsia="微软雅黑"/>
          <w:b/>
          <w:sz w:val="20"/>
          <w:szCs w:val="20"/>
        </w:rPr>
        <w:t>参加对象：</w:t>
      </w:r>
      <w:r>
        <w:rPr>
          <w:rFonts w:hint="eastAsia" w:ascii="微软雅黑" w:hAnsi="微软雅黑" w:eastAsia="微软雅黑"/>
          <w:bCs/>
          <w:sz w:val="20"/>
          <w:szCs w:val="20"/>
        </w:rPr>
        <w:t>采购、供应链及相关部门总监、经理、主管等</w:t>
      </w:r>
    </w:p>
    <w:p w14:paraId="1E9B8354">
      <w:pPr>
        <w:adjustRightInd w:val="0"/>
        <w:snapToGrid w:val="0"/>
        <w:spacing w:line="360" w:lineRule="auto"/>
        <w:ind w:left="424" w:leftChars="202"/>
        <w:jc w:val="left"/>
        <w:rPr>
          <w:rFonts w:hint="eastAsia" w:ascii="微软雅黑" w:hAnsi="微软雅黑" w:eastAsia="微软雅黑"/>
          <w:bCs/>
          <w:sz w:val="20"/>
          <w:szCs w:val="20"/>
        </w:rPr>
      </w:pPr>
      <w:r>
        <w:rPr>
          <w:sz w:val="20"/>
          <w:szCs w:val="20"/>
        </w:rPr>
        <mc:AlternateContent>
          <mc:Choice Requires="wpg">
            <w:drawing>
              <wp:anchor distT="0" distB="0" distL="114300" distR="114300" simplePos="0" relativeHeight="251663360" behindDoc="0" locked="0" layoutInCell="1" allowOverlap="1">
                <wp:simplePos x="0" y="0"/>
                <wp:positionH relativeFrom="column">
                  <wp:posOffset>-34290</wp:posOffset>
                </wp:positionH>
                <wp:positionV relativeFrom="paragraph">
                  <wp:posOffset>43180</wp:posOffset>
                </wp:positionV>
                <wp:extent cx="173355" cy="173355"/>
                <wp:effectExtent l="0" t="0" r="0" b="0"/>
                <wp:wrapNone/>
                <wp:docPr id="26"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7" name="椭圆 13"/>
                        <wps:cNvSpPr/>
                        <wps:spPr>
                          <a:xfrm>
                            <a:off x="0" y="0"/>
                            <a:ext cx="173355" cy="173355"/>
                          </a:xfrm>
                          <a:prstGeom prst="ellipse">
                            <a:avLst/>
                          </a:prstGeom>
                          <a:solidFill>
                            <a:srgbClr val="C00000"/>
                          </a:solidFill>
                          <a:ln w="25400">
                            <a:noFill/>
                          </a:ln>
                        </wps:spPr>
                        <wps:bodyPr anchor="ctr" upright="1"/>
                      </wps:wsp>
                      <wps:wsp>
                        <wps:cNvPr id="3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id="组合 84" o:spid="_x0000_s1026" o:spt="203" style="position:absolute;left:0pt;margin-left:-2.7pt;margin-top:3.4pt;height:13.65pt;width:13.65pt;z-index:251663360;mso-width-relative:page;mso-height-relative:page;" coordsize="173355,173355" o:gfxdata="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">
                <o:lock v:ext="edit" aspectratio="f"/>
                <v:shape id="椭圆 13" o:spid="_x0000_s1026" o:spt="3" type="#_x0000_t3" style="position:absolute;left:0;top:0;height:173355;width:173355;v-text-anchor:middle;" fillcolor="#C00000" filled="t" stroked="f" coordsize="21600,21600" o:gfxdata="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kC8vQAA&#10;ANsAAAAPAAAAAAAAAAEAIAAAACIAAABkcnMvZG93bnJldi54bWxQSwECFAAUAAAACACHTuJAMy8F&#10;njsAAAA5AAAAEAAAAAAAAAABACAAAAAMAQAAZHJzL3NoYXBleG1sLnhtbFBLBQYAAAAABgAGAFsB&#10;AAC2AwAAAAA=&#10;">
                  <v:fill on="t" focussize="0,0"/>
                  <v:stroke on="f" weight="2pt"/>
                  <v:imagedata o:title=""/>
                  <o:lock v:ext="edit" aspectratio="f"/>
                </v:shape>
                <v:shape id="Freeform 148" o:spid="_x0000_s1026" o:spt="100" style="position:absolute;left:19634;top:39269;height:104669;width:129026;" fillcolor="#FFFFFF [3212]" filled="t" stroked="f" coordsize="228,185" o:gfxdata="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a78BvQAA&#10;ANsAAAAPAAAAAAAAAAEAIAAAACIAAABkcnMvZG93bnJldi54bWxQSwECFAAUAAAACACHTuJAMy8F&#10;njsAAAA5AAAAEAAAAAAAAAABACAAAAAMAQAAZHJzL3NoYXBleG1sLnhtbFBLBQYAAAAABgAGAFsB&#10;AAC2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t" focussize="0,0"/>
                  <v:stroke on="f"/>
                  <v:imagedata o:title=""/>
                  <o:lock v:ext="edit" aspectratio="t"/>
                </v:shape>
              </v:group>
            </w:pict>
          </mc:Fallback>
        </mc:AlternateContent>
      </w:r>
      <w:r>
        <w:rPr>
          <w:rFonts w:hint="eastAsia" w:ascii="微软雅黑" w:hAnsi="微软雅黑" w:eastAsia="微软雅黑"/>
          <w:b/>
          <w:bCs/>
          <w:sz w:val="20"/>
          <w:szCs w:val="20"/>
        </w:rPr>
        <w:t>课程费用：</w:t>
      </w:r>
      <w:r>
        <w:rPr>
          <w:rFonts w:hint="eastAsia" w:ascii="微软雅黑" w:hAnsi="微软雅黑" w:eastAsia="微软雅黑"/>
          <w:bCs/>
          <w:kern w:val="0"/>
          <w:sz w:val="20"/>
          <w:szCs w:val="20"/>
        </w:rPr>
        <w:t>¥</w:t>
      </w:r>
      <w:r>
        <w:rPr>
          <w:rFonts w:ascii="微软雅黑" w:hAnsi="微软雅黑" w:eastAsia="微软雅黑"/>
          <w:bCs/>
          <w:kern w:val="0"/>
          <w:sz w:val="20"/>
          <w:szCs w:val="20"/>
        </w:rPr>
        <w:t>4</w:t>
      </w:r>
      <w:r>
        <w:rPr>
          <w:rFonts w:hint="eastAsia" w:ascii="微软雅黑" w:hAnsi="微软雅黑" w:eastAsia="微软雅黑"/>
          <w:bCs/>
          <w:kern w:val="0"/>
          <w:sz w:val="20"/>
          <w:szCs w:val="20"/>
        </w:rPr>
        <w:t>8</w:t>
      </w:r>
      <w:r>
        <w:rPr>
          <w:rFonts w:ascii="微软雅黑" w:hAnsi="微软雅黑" w:eastAsia="微软雅黑"/>
          <w:bCs/>
          <w:kern w:val="0"/>
          <w:sz w:val="20"/>
          <w:szCs w:val="20"/>
        </w:rPr>
        <w:t>00</w:t>
      </w:r>
      <w:r>
        <w:rPr>
          <w:rFonts w:hint="eastAsia" w:ascii="微软雅黑" w:hAnsi="微软雅黑" w:eastAsia="微软雅黑"/>
          <w:bCs/>
          <w:kern w:val="0"/>
          <w:sz w:val="20"/>
          <w:szCs w:val="20"/>
        </w:rPr>
        <w:t>元/人</w:t>
      </w:r>
      <w:r>
        <w:rPr>
          <w:rFonts w:hint="eastAsia" w:ascii="微软雅黑" w:hAnsi="微软雅黑" w:eastAsia="微软雅黑"/>
          <w:bCs/>
          <w:sz w:val="20"/>
          <w:szCs w:val="20"/>
        </w:rPr>
        <w:t>（包含：培训费、培训教材、增值税发票、证书、午餐及茶歇）</w:t>
      </w:r>
    </w:p>
    <w:p w14:paraId="49973029">
      <w:pPr>
        <w:snapToGrid w:val="0"/>
        <w:jc w:val="left"/>
        <w:rPr>
          <w:rFonts w:hint="eastAsia" w:ascii="微软雅黑" w:hAnsi="微软雅黑" w:eastAsia="微软雅黑" w:cs="宋体"/>
          <w:b/>
          <w:color w:val="C00000"/>
          <w:kern w:val="0"/>
          <w:sz w:val="24"/>
          <w:szCs w:val="21"/>
        </w:rPr>
      </w:pPr>
      <w:bookmarkStart w:id="3" w:name="_GoBack"/>
      <w:bookmarkEnd w:id="3"/>
      <w:r>
        <w:rPr>
          <w:rFonts w:ascii="微软雅黑" w:hAnsi="微软雅黑" w:eastAsia="微软雅黑" w:cs="宋体"/>
          <w:b/>
          <w:color w:val="C00000"/>
          <w:kern w:val="0"/>
          <w:sz w:val="24"/>
          <w:szCs w:val="21"/>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127000</wp:posOffset>
                </wp:positionV>
                <wp:extent cx="6238875" cy="0"/>
                <wp:effectExtent l="0" t="12700" r="22225" b="12700"/>
                <wp:wrapNone/>
                <wp:docPr id="5" name="直线连接符 5"/>
                <wp:cNvGraphicFramePr/>
                <a:graphic xmlns:a="http://schemas.openxmlformats.org/drawingml/2006/main">
                  <a:graphicData uri="http://schemas.microsoft.com/office/word/2010/wordprocessingShape">
                    <wps:wsp>
                      <wps:cNvCnPr/>
                      <wps:spPr>
                        <a:xfrm>
                          <a:off x="0" y="0"/>
                          <a:ext cx="623887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直线连接符 5" o:spid="_x0000_s1026" o:spt="20" style="position:absolute;left:0pt;margin-left:1pt;margin-top:10pt;height:0pt;width:491.25pt;z-index:251664384;mso-width-relative:page;mso-height-relative:page;" filled="f" stroked="t" coordsize="21600,21600" o:gfxdata="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x8Wn&#10;2AAAAAcBAAAPAAAAAAAAAAEAIAAAACIAAABkcnMvZG93bnJldi54bWxQSwECFAAUAAAACACHTuJA&#10;ewlslOgBAACyAwAADgAAAAAAAAABACAAAAAnAQAAZHJzL2Uyb0RvYy54bWxQSwUGAAAAAAYABgBZ&#10;AQAAgQUAAAAA&#10;">
                <v:fill on="f" focussize="0,0"/>
                <v:stroke weight="1.5pt" color="#C00000 [3205]" miterlimit="8" joinstyle="miter"/>
                <v:imagedata o:title=""/>
                <o:lock v:ext="edit" aspectratio="f"/>
              </v:line>
            </w:pict>
          </mc:Fallback>
        </mc:AlternateContent>
      </w:r>
    </w:p>
    <w:p w14:paraId="4EE3E44C">
      <w:pPr>
        <w:snapToGrid w:val="0"/>
        <w:jc w:val="left"/>
        <w:rPr>
          <w:rFonts w:hint="eastAsia" w:ascii="微软雅黑" w:hAnsi="微软雅黑" w:eastAsia="微软雅黑" w:cs="宋体"/>
          <w:b/>
          <w:color w:val="C00000"/>
          <w:kern w:val="0"/>
          <w:sz w:val="24"/>
          <w:szCs w:val="21"/>
        </w:rPr>
      </w:pPr>
      <w:r>
        <w:rPr>
          <w:rFonts w:hint="eastAsia" w:ascii="微软雅黑" w:hAnsi="微软雅黑" w:eastAsia="微软雅黑" w:cs="宋体"/>
          <w:b/>
          <w:color w:val="C00000"/>
          <w:kern w:val="0"/>
          <w:sz w:val="24"/>
          <w:szCs w:val="21"/>
        </w:rPr>
        <w:t>课程介绍：</w:t>
      </w:r>
    </w:p>
    <w:p w14:paraId="4AEA1CED">
      <w:pPr>
        <w:adjustRightInd w:val="0"/>
        <w:snapToGrid w:val="0"/>
        <w:spacing w:line="276" w:lineRule="auto"/>
        <w:ind w:firstLine="420"/>
        <w:rPr>
          <w:rFonts w:hint="eastAsia"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本课程致力于提高和完善数字化在物流供应链相关管理人员综合能力, 介绍和分析国际上先进的管理理念、物流及仓储控制技巧。以全面理论体系为基础，整合大量案例帮助参与者提升物流与供应链管理战略能力、实际操作能力、优化管理技术和掌握相关运作技巧。</w:t>
      </w:r>
    </w:p>
    <w:p w14:paraId="0EE07C5C">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物流管理、供应链管理的前沿最新理念</w:t>
      </w:r>
    </w:p>
    <w:p w14:paraId="550F86F3">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物流供应链战略掌控职能</w:t>
      </w:r>
    </w:p>
    <w:p w14:paraId="4FB8F497">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从传统物流向供应链延生</w:t>
      </w:r>
    </w:p>
    <w:p w14:paraId="058C164E">
      <w:pPr>
        <w:pStyle w:val="8"/>
        <w:numPr>
          <w:ilvl w:val="0"/>
          <w:numId w:val="1"/>
        </w:numPr>
        <w:adjustRightInd w:val="0"/>
        <w:snapToGrid w:val="0"/>
        <w:spacing w:line="276" w:lineRule="auto"/>
        <w:ind w:firstLineChars="0"/>
        <w:rPr>
          <w:rFonts w:hint="eastAsia" w:ascii="微软雅黑" w:hAnsi="微软雅黑" w:eastAsia="微软雅黑"/>
          <w:bCs/>
          <w:szCs w:val="21"/>
        </w:rPr>
      </w:pPr>
      <w:r>
        <w:rPr>
          <w:rFonts w:hint="eastAsia" w:ascii="微软雅黑" w:hAnsi="微软雅黑" w:eastAsia="微软雅黑"/>
          <w:bCs/>
          <w:szCs w:val="21"/>
        </w:rPr>
        <w:t>供应链管理中的物流成本控制</w:t>
      </w:r>
    </w:p>
    <w:p w14:paraId="157399D0">
      <w:pPr>
        <w:pStyle w:val="8"/>
        <w:numPr>
          <w:ilvl w:val="0"/>
          <w:numId w:val="1"/>
        </w:numPr>
        <w:adjustRightInd w:val="0"/>
        <w:snapToGrid w:val="0"/>
        <w:spacing w:line="276" w:lineRule="auto"/>
        <w:ind w:firstLineChars="0"/>
        <w:rPr>
          <w:rFonts w:hint="eastAsia" w:ascii="微软雅黑" w:hAnsi="微软雅黑" w:eastAsia="微软雅黑"/>
          <w:szCs w:val="21"/>
        </w:rPr>
      </w:pPr>
      <w:r>
        <w:rPr>
          <w:rFonts w:hint="eastAsia" w:ascii="微软雅黑" w:hAnsi="微软雅黑" w:eastAsia="微软雅黑"/>
          <w:bCs/>
          <w:szCs w:val="21"/>
        </w:rPr>
        <w:t>未来物流供应链发展趋势、企业如何响应</w:t>
      </w:r>
    </w:p>
    <w:p w14:paraId="546D1EDD">
      <w:pPr>
        <w:snapToGrid w:val="0"/>
        <w:jc w:val="left"/>
        <w:rPr>
          <w:rFonts w:hint="eastAsia" w:ascii="微软雅黑" w:hAnsi="微软雅黑" w:eastAsia="微软雅黑" w:cs="宋体"/>
          <w:b/>
          <w:color w:val="C00000"/>
          <w:kern w:val="0"/>
          <w:sz w:val="24"/>
          <w:szCs w:val="21"/>
        </w:rPr>
      </w:pPr>
      <w:r>
        <w:rPr>
          <w:rFonts w:hint="eastAsia" w:ascii="微软雅黑" w:hAnsi="微软雅黑" w:eastAsia="微软雅黑" w:cs="宋体"/>
          <w:b/>
          <w:color w:val="C00000"/>
          <w:kern w:val="0"/>
          <w:sz w:val="24"/>
          <w:szCs w:val="21"/>
        </w:rPr>
        <w:t>课程大纲：</w:t>
      </w:r>
    </w:p>
    <w:p w14:paraId="13F94A39">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一、大数据背景下敏捷供应链的基础概念</w:t>
      </w:r>
    </w:p>
    <w:p w14:paraId="5DA11C49">
      <w:pPr>
        <w:pStyle w:val="8"/>
        <w:numPr>
          <w:ilvl w:val="0"/>
          <w:numId w:val="2"/>
        </w:numPr>
        <w:adjustRightInd w:val="0"/>
        <w:snapToGrid w:val="0"/>
        <w:ind w:firstLineChars="0"/>
        <w:rPr>
          <w:rFonts w:hint="eastAsia" w:ascii="微软雅黑" w:hAnsi="微软雅黑" w:eastAsia="微软雅黑"/>
          <w:szCs w:val="21"/>
        </w:rPr>
      </w:pPr>
      <w:r>
        <w:rPr>
          <w:rFonts w:hint="eastAsia" w:ascii="微软雅黑" w:hAnsi="微软雅黑" w:eastAsia="微软雅黑"/>
          <w:szCs w:val="21"/>
        </w:rPr>
        <w:t>敏捷供应链的提出，</w:t>
      </w:r>
    </w:p>
    <w:p w14:paraId="08C7037A">
      <w:pPr>
        <w:pStyle w:val="8"/>
        <w:numPr>
          <w:ilvl w:val="0"/>
          <w:numId w:val="2"/>
        </w:numPr>
        <w:adjustRightInd w:val="0"/>
        <w:snapToGrid w:val="0"/>
        <w:ind w:firstLineChars="0"/>
        <w:rPr>
          <w:rFonts w:hint="eastAsia" w:ascii="微软雅黑" w:hAnsi="微软雅黑" w:eastAsia="微软雅黑"/>
          <w:szCs w:val="21"/>
        </w:rPr>
      </w:pPr>
      <w:r>
        <w:rPr>
          <w:rFonts w:hint="eastAsia" w:ascii="微软雅黑" w:hAnsi="微软雅黑" w:eastAsia="微软雅黑"/>
          <w:szCs w:val="21"/>
        </w:rPr>
        <w:t>敏捷供应链的概念与内涵</w:t>
      </w:r>
    </w:p>
    <w:p w14:paraId="55DD0276">
      <w:pPr>
        <w:pStyle w:val="8"/>
        <w:numPr>
          <w:ilvl w:val="0"/>
          <w:numId w:val="2"/>
        </w:numPr>
        <w:adjustRightInd w:val="0"/>
        <w:snapToGrid w:val="0"/>
        <w:ind w:firstLineChars="0"/>
        <w:rPr>
          <w:rFonts w:hint="eastAsia" w:ascii="微软雅黑" w:hAnsi="微软雅黑" w:eastAsia="微软雅黑"/>
          <w:szCs w:val="21"/>
        </w:rPr>
      </w:pPr>
      <w:r>
        <w:rPr>
          <w:rFonts w:hint="eastAsia" w:ascii="微软雅黑" w:hAnsi="微软雅黑" w:eastAsia="微软雅黑"/>
          <w:szCs w:val="21"/>
        </w:rPr>
        <w:t>敏捷供应链的特点</w:t>
      </w:r>
    </w:p>
    <w:p w14:paraId="1AB449FA">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.1</w:t>
      </w:r>
      <w:r>
        <w:rPr>
          <w:rFonts w:hint="eastAsia" w:ascii="微软雅黑" w:hAnsi="微软雅黑" w:eastAsia="微软雅黑"/>
          <w:szCs w:val="21"/>
        </w:rPr>
        <w:t>、市场响应速度快</w:t>
      </w:r>
    </w:p>
    <w:p w14:paraId="1186BEE2">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w:t>
      </w:r>
      <w:r>
        <w:rPr>
          <w:rFonts w:hint="eastAsia" w:ascii="微软雅黑" w:hAnsi="微软雅黑" w:eastAsia="微软雅黑"/>
          <w:szCs w:val="21"/>
        </w:rPr>
        <w:t>2、供需两端的流程集成</w:t>
      </w:r>
    </w:p>
    <w:p w14:paraId="7955AD61">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3.3、物流网络的合理性</w:t>
      </w:r>
    </w:p>
    <w:p w14:paraId="66E954CD">
      <w:pPr>
        <w:pStyle w:val="8"/>
        <w:adjustRightInd w:val="0"/>
        <w:snapToGrid w:val="0"/>
        <w:ind w:left="420" w:firstLine="0" w:firstLineChars="0"/>
        <w:rPr>
          <w:rFonts w:hint="eastAsia"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.4</w:t>
      </w:r>
      <w:r>
        <w:rPr>
          <w:rFonts w:hint="eastAsia" w:ascii="微软雅黑" w:hAnsi="微软雅黑" w:eastAsia="微软雅黑"/>
          <w:szCs w:val="21"/>
        </w:rPr>
        <w:t>、信息网络和数字化赋能</w:t>
      </w:r>
    </w:p>
    <w:p w14:paraId="20673256">
      <w:pPr>
        <w:adjustRightInd w:val="0"/>
        <w:snapToGrid w:val="0"/>
        <w:rPr>
          <w:rFonts w:hint="eastAsia" w:ascii="微软雅黑" w:hAnsi="微软雅黑" w:eastAsia="微软雅黑"/>
          <w:szCs w:val="21"/>
        </w:rPr>
      </w:pPr>
      <w:r>
        <w:rPr>
          <w:rFonts w:hint="eastAsia" w:ascii="微软雅黑" w:hAnsi="微软雅黑" w:eastAsia="微软雅黑"/>
          <w:szCs w:val="21"/>
        </w:rPr>
        <w:t>4、敏捷供应链的竞争优势</w:t>
      </w:r>
    </w:p>
    <w:p w14:paraId="3202DC5E">
      <w:pPr>
        <w:adjustRightInd w:val="0"/>
        <w:snapToGrid w:val="0"/>
        <w:ind w:firstLine="420"/>
        <w:rPr>
          <w:rFonts w:hint="eastAsia" w:ascii="微软雅黑" w:hAnsi="微软雅黑" w:eastAsia="微软雅黑"/>
          <w:szCs w:val="21"/>
        </w:rPr>
      </w:pPr>
      <w:r>
        <w:rPr>
          <w:rFonts w:ascii="微软雅黑" w:hAnsi="微软雅黑" w:eastAsia="微软雅黑"/>
          <w:szCs w:val="21"/>
        </w:rPr>
        <w:t>4.1</w:t>
      </w:r>
      <w:r>
        <w:rPr>
          <w:rFonts w:hint="eastAsia" w:ascii="微软雅黑" w:hAnsi="微软雅黑" w:eastAsia="微软雅黑"/>
          <w:szCs w:val="21"/>
        </w:rPr>
        <w:t>、速度优势</w:t>
      </w:r>
    </w:p>
    <w:p w14:paraId="32CCD4CC">
      <w:pPr>
        <w:adjustRightInd w:val="0"/>
        <w:snapToGrid w:val="0"/>
        <w:ind w:firstLine="420"/>
        <w:rPr>
          <w:rFonts w:hint="eastAsia"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.2</w:t>
      </w:r>
      <w:r>
        <w:rPr>
          <w:rFonts w:hint="eastAsia" w:ascii="微软雅黑" w:hAnsi="微软雅黑" w:eastAsia="微软雅黑"/>
          <w:szCs w:val="21"/>
        </w:rPr>
        <w:t>、满足顾客个性化需求优势</w:t>
      </w:r>
    </w:p>
    <w:p w14:paraId="770C56FF">
      <w:pPr>
        <w:adjustRightInd w:val="0"/>
        <w:snapToGrid w:val="0"/>
        <w:ind w:firstLine="420"/>
        <w:rPr>
          <w:rFonts w:hint="eastAsia" w:ascii="微软雅黑" w:hAnsi="微软雅黑" w:eastAsia="微软雅黑"/>
          <w:szCs w:val="21"/>
        </w:rPr>
      </w:pPr>
      <w:r>
        <w:rPr>
          <w:rFonts w:hint="eastAsia" w:ascii="微软雅黑" w:hAnsi="微软雅黑" w:eastAsia="微软雅黑"/>
          <w:szCs w:val="21"/>
        </w:rPr>
        <w:t>4</w:t>
      </w:r>
      <w:r>
        <w:rPr>
          <w:rFonts w:ascii="微软雅黑" w:hAnsi="微软雅黑" w:eastAsia="微软雅黑"/>
          <w:szCs w:val="21"/>
        </w:rPr>
        <w:t>.3</w:t>
      </w:r>
      <w:r>
        <w:rPr>
          <w:rFonts w:hint="eastAsia" w:ascii="微软雅黑" w:hAnsi="微软雅黑" w:eastAsia="微软雅黑"/>
          <w:szCs w:val="21"/>
        </w:rPr>
        <w:t>、成本优势</w:t>
      </w:r>
    </w:p>
    <w:p w14:paraId="2F725A04">
      <w:pPr>
        <w:adjustRightInd w:val="0"/>
        <w:snapToGrid w:val="0"/>
        <w:rPr>
          <w:rFonts w:hint="eastAsia" w:ascii="微软雅黑" w:hAnsi="微软雅黑" w:eastAsia="微软雅黑"/>
          <w:szCs w:val="21"/>
        </w:rPr>
      </w:pPr>
      <w:r>
        <w:rPr>
          <w:rFonts w:hint="eastAsia" w:ascii="微软雅黑" w:hAnsi="微软雅黑" w:eastAsia="微软雅黑"/>
          <w:szCs w:val="21"/>
        </w:rPr>
        <w:t>5、敏捷供应链的基本原则</w:t>
      </w:r>
    </w:p>
    <w:p w14:paraId="50F41C26">
      <w:pPr>
        <w:adjustRightInd w:val="0"/>
        <w:snapToGrid w:val="0"/>
        <w:ind w:firstLine="420" w:firstLineChars="200"/>
        <w:rPr>
          <w:rFonts w:hint="eastAsia" w:ascii="微软雅黑" w:hAnsi="微软雅黑" w:eastAsia="微软雅黑"/>
          <w:szCs w:val="21"/>
        </w:rPr>
      </w:pPr>
      <w:r>
        <w:rPr>
          <w:rFonts w:ascii="微软雅黑" w:hAnsi="微软雅黑" w:eastAsia="微软雅黑"/>
          <w:szCs w:val="21"/>
        </w:rPr>
        <w:t>5.1</w:t>
      </w:r>
      <w:r>
        <w:rPr>
          <w:rFonts w:hint="eastAsia" w:ascii="微软雅黑" w:hAnsi="微软雅黑" w:eastAsia="微软雅黑"/>
          <w:szCs w:val="21"/>
        </w:rPr>
        <w:t>、系统性原则，</w:t>
      </w:r>
    </w:p>
    <w:p w14:paraId="3FE8CFB2">
      <w:pPr>
        <w:adjustRightInd w:val="0"/>
        <w:snapToGrid w:val="0"/>
        <w:ind w:firstLine="420" w:firstLineChars="200"/>
        <w:rPr>
          <w:rFonts w:hint="eastAsia" w:ascii="微软雅黑" w:hAnsi="微软雅黑" w:eastAsia="微软雅黑"/>
          <w:szCs w:val="21"/>
        </w:rPr>
      </w:pPr>
      <w:r>
        <w:rPr>
          <w:rFonts w:ascii="微软雅黑" w:hAnsi="微软雅黑" w:eastAsia="微软雅黑"/>
          <w:szCs w:val="21"/>
        </w:rPr>
        <w:t>5.2</w:t>
      </w:r>
      <w:r>
        <w:rPr>
          <w:rFonts w:hint="eastAsia" w:ascii="微软雅黑" w:hAnsi="微软雅黑" w:eastAsia="微软雅黑"/>
          <w:szCs w:val="21"/>
        </w:rPr>
        <w:t>、信息共享性</w:t>
      </w:r>
      <w:bookmarkStart w:id="0" w:name="_Hlk84947633"/>
      <w:r>
        <w:rPr>
          <w:rFonts w:hint="eastAsia" w:ascii="微软雅黑" w:hAnsi="微软雅黑" w:eastAsia="微软雅黑"/>
          <w:szCs w:val="21"/>
        </w:rPr>
        <w:t>原则</w:t>
      </w:r>
      <w:bookmarkEnd w:id="0"/>
      <w:r>
        <w:rPr>
          <w:rFonts w:hint="eastAsia" w:ascii="微软雅黑" w:hAnsi="微软雅黑" w:eastAsia="微软雅黑"/>
          <w:szCs w:val="21"/>
        </w:rPr>
        <w:t>，</w:t>
      </w:r>
    </w:p>
    <w:p w14:paraId="6174BD19">
      <w:pPr>
        <w:adjustRightInd w:val="0"/>
        <w:snapToGrid w:val="0"/>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.3</w:t>
      </w:r>
      <w:r>
        <w:rPr>
          <w:rFonts w:hint="eastAsia" w:ascii="微软雅黑" w:hAnsi="微软雅黑" w:eastAsia="微软雅黑"/>
          <w:szCs w:val="21"/>
        </w:rPr>
        <w:t>、敏捷性原则，</w:t>
      </w:r>
    </w:p>
    <w:p w14:paraId="56875554">
      <w:pPr>
        <w:adjustRightInd w:val="0"/>
        <w:snapToGrid w:val="0"/>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.4</w:t>
      </w:r>
      <w:r>
        <w:rPr>
          <w:rFonts w:hint="eastAsia" w:ascii="微软雅黑" w:hAnsi="微软雅黑" w:eastAsia="微软雅黑"/>
          <w:szCs w:val="21"/>
        </w:rPr>
        <w:t>、组织虚拟性原则，</w:t>
      </w:r>
    </w:p>
    <w:p w14:paraId="20E14AEA">
      <w:pPr>
        <w:adjustRightInd w:val="0"/>
        <w:snapToGrid w:val="0"/>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ascii="微软雅黑" w:hAnsi="微软雅黑" w:eastAsia="微软雅黑"/>
          <w:szCs w:val="21"/>
        </w:rPr>
        <w:t>.5</w:t>
      </w:r>
      <w:r>
        <w:rPr>
          <w:rFonts w:hint="eastAsia" w:ascii="微软雅黑" w:hAnsi="微软雅黑" w:eastAsia="微软雅黑"/>
          <w:szCs w:val="21"/>
        </w:rPr>
        <w:t>、利益协调原则</w:t>
      </w:r>
    </w:p>
    <w:p w14:paraId="7E03ACD9">
      <w:pPr>
        <w:adjustRightInd w:val="0"/>
        <w:snapToGrid w:val="0"/>
        <w:rPr>
          <w:rFonts w:hint="eastAsia" w:ascii="微软雅黑" w:hAnsi="微软雅黑" w:eastAsia="微软雅黑"/>
          <w:szCs w:val="21"/>
        </w:rPr>
      </w:pPr>
      <w:r>
        <w:rPr>
          <w:rFonts w:hint="eastAsia" w:ascii="微软雅黑" w:hAnsi="微软雅黑" w:eastAsia="微软雅黑"/>
          <w:szCs w:val="21"/>
        </w:rPr>
        <w:t>6、建立敏捷供应链管理系统的关键技术</w:t>
      </w:r>
    </w:p>
    <w:p w14:paraId="6E0B09B9">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7、敏捷供应链的运行模式 </w:t>
      </w:r>
      <w:r>
        <w:rPr>
          <w:rFonts w:ascii="微软雅黑" w:hAnsi="微软雅黑" w:eastAsia="微软雅黑"/>
          <w:szCs w:val="21"/>
        </w:rPr>
        <w:t xml:space="preserve">   </w:t>
      </w:r>
    </w:p>
    <w:p w14:paraId="3880F904">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二、大数据下的敏捷供应链的需求预测管理</w:t>
      </w:r>
    </w:p>
    <w:p w14:paraId="46DDDD34">
      <w:pPr>
        <w:adjustRightInd w:val="0"/>
        <w:snapToGrid w:val="0"/>
        <w:rPr>
          <w:rFonts w:hint="eastAsia" w:ascii="微软雅黑" w:hAnsi="微软雅黑" w:eastAsia="微软雅黑"/>
          <w:szCs w:val="21"/>
        </w:rPr>
      </w:pPr>
      <w:r>
        <w:rPr>
          <w:rFonts w:hint="eastAsia" w:ascii="微软雅黑" w:hAnsi="微软雅黑" w:eastAsia="微软雅黑"/>
          <w:szCs w:val="21"/>
        </w:rPr>
        <w:t>1、需求预测和敏捷供应链的关系</w:t>
      </w:r>
    </w:p>
    <w:p w14:paraId="487BEA0F">
      <w:pPr>
        <w:adjustRightInd w:val="0"/>
        <w:snapToGrid w:val="0"/>
        <w:rPr>
          <w:rFonts w:hint="eastAsia" w:ascii="微软雅黑" w:hAnsi="微软雅黑" w:eastAsia="微软雅黑"/>
          <w:szCs w:val="21"/>
        </w:rPr>
      </w:pPr>
      <w:r>
        <w:rPr>
          <w:rFonts w:hint="eastAsia" w:ascii="微软雅黑" w:hAnsi="微软雅黑" w:eastAsia="微软雅黑"/>
          <w:szCs w:val="21"/>
        </w:rPr>
        <w:t>2、需求预测的模式</w:t>
      </w:r>
    </w:p>
    <w:p w14:paraId="54CF16F1">
      <w:pPr>
        <w:adjustRightInd w:val="0"/>
        <w:snapToGrid w:val="0"/>
        <w:rPr>
          <w:rFonts w:hint="eastAsia" w:ascii="微软雅黑" w:hAnsi="微软雅黑" w:eastAsia="微软雅黑"/>
          <w:szCs w:val="21"/>
        </w:rPr>
      </w:pPr>
      <w:r>
        <w:rPr>
          <w:rFonts w:ascii="微软雅黑" w:hAnsi="微软雅黑" w:eastAsia="微软雅黑"/>
          <w:szCs w:val="21"/>
        </w:rPr>
        <w:t xml:space="preserve">  2.1</w:t>
      </w:r>
      <w:r>
        <w:rPr>
          <w:rFonts w:hint="eastAsia" w:ascii="微软雅黑" w:hAnsi="微软雅黑" w:eastAsia="微软雅黑"/>
          <w:szCs w:val="21"/>
        </w:rPr>
        <w:t>、主观和客观需求</w:t>
      </w:r>
    </w:p>
    <w:p w14:paraId="27AFFF0F">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2.2</w:t>
      </w:r>
      <w:r>
        <w:rPr>
          <w:rFonts w:hint="eastAsia" w:ascii="微软雅黑" w:hAnsi="微软雅黑" w:eastAsia="微软雅黑"/>
          <w:szCs w:val="21"/>
        </w:rPr>
        <w:t>、短期需求的特征和对物流职能的帮助</w:t>
      </w:r>
    </w:p>
    <w:p w14:paraId="25D89E52">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2.</w:t>
      </w:r>
      <w:r>
        <w:rPr>
          <w:rFonts w:hint="eastAsia" w:ascii="微软雅黑" w:hAnsi="微软雅黑" w:eastAsia="微软雅黑"/>
          <w:szCs w:val="21"/>
        </w:rPr>
        <w:t>3、中期需求的特征和对物流职能的帮助</w:t>
      </w:r>
    </w:p>
    <w:p w14:paraId="023E684A">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2.</w:t>
      </w:r>
      <w:r>
        <w:rPr>
          <w:rFonts w:hint="eastAsia" w:ascii="微软雅黑" w:hAnsi="微软雅黑" w:eastAsia="微软雅黑"/>
          <w:szCs w:val="21"/>
        </w:rPr>
        <w:t>4、长期需求的特征和对物流职能的帮助</w:t>
      </w:r>
    </w:p>
    <w:p w14:paraId="684367F0">
      <w:pPr>
        <w:adjustRightInd w:val="0"/>
        <w:snapToGrid w:val="0"/>
        <w:rPr>
          <w:rFonts w:hint="eastAsia" w:ascii="微软雅黑" w:hAnsi="微软雅黑" w:eastAsia="微软雅黑"/>
          <w:szCs w:val="21"/>
        </w:rPr>
      </w:pPr>
      <w:r>
        <w:rPr>
          <w:rFonts w:hint="eastAsia" w:ascii="微软雅黑" w:hAnsi="微软雅黑" w:eastAsia="微软雅黑"/>
          <w:szCs w:val="21"/>
        </w:rPr>
        <w:t>3、需求预测的管理原则</w:t>
      </w:r>
    </w:p>
    <w:p w14:paraId="7CF76083">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三、数据化系统敏捷供应链下的计划体系和物流计划</w:t>
      </w:r>
    </w:p>
    <w:p w14:paraId="393E8B3C">
      <w:pPr>
        <w:adjustRightInd w:val="0"/>
        <w:snapToGrid w:val="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、供应链计划体系说明</w:t>
      </w:r>
    </w:p>
    <w:p w14:paraId="2F704A33">
      <w:pPr>
        <w:adjustRightInd w:val="0"/>
        <w:snapToGrid w:val="0"/>
        <w:rPr>
          <w:rFonts w:hint="eastAsia" w:ascii="微软雅黑" w:hAnsi="微软雅黑" w:eastAsia="微软雅黑"/>
          <w:szCs w:val="21"/>
        </w:rPr>
      </w:pPr>
      <w:r>
        <w:rPr>
          <w:rFonts w:hint="eastAsia" w:ascii="微软雅黑" w:hAnsi="微软雅黑" w:eastAsia="微软雅黑"/>
          <w:szCs w:val="21"/>
        </w:rPr>
        <w:t>2、从S&amp;OP计划到进向物流计划、DRP物流计划的基本逻辑</w:t>
      </w:r>
    </w:p>
    <w:p w14:paraId="01DB525C">
      <w:pPr>
        <w:adjustRightInd w:val="0"/>
        <w:snapToGrid w:val="0"/>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、建立采购类别供应链的敏捷性首先来源于计划的敏捷性</w:t>
      </w:r>
    </w:p>
    <w:p w14:paraId="55F34001">
      <w:pPr>
        <w:adjustRightInd w:val="0"/>
        <w:snapToGrid w:val="0"/>
        <w:rPr>
          <w:rFonts w:hint="eastAsia" w:ascii="微软雅黑" w:hAnsi="微软雅黑" w:eastAsia="微软雅黑"/>
          <w:szCs w:val="21"/>
        </w:rPr>
      </w:pPr>
      <w:r>
        <w:rPr>
          <w:rFonts w:hint="eastAsia" w:ascii="微软雅黑" w:hAnsi="微软雅黑" w:eastAsia="微软雅黑"/>
          <w:szCs w:val="21"/>
        </w:rPr>
        <w:t>4、S&amp;OP过程开展的方式和注意要点</w:t>
      </w:r>
    </w:p>
    <w:p w14:paraId="6FEB4320">
      <w:pPr>
        <w:adjustRightInd w:val="0"/>
        <w:snapToGrid w:val="0"/>
        <w:rPr>
          <w:rFonts w:hint="eastAsia" w:ascii="微软雅黑" w:hAnsi="微软雅黑" w:eastAsia="微软雅黑"/>
          <w:szCs w:val="21"/>
        </w:rPr>
      </w:pPr>
      <w:r>
        <w:rPr>
          <w:rFonts w:hint="eastAsia" w:ascii="微软雅黑" w:hAnsi="微软雅黑" w:eastAsia="微软雅黑"/>
          <w:szCs w:val="21"/>
        </w:rPr>
        <w:t>5、主计划的制定方式和注意要点</w:t>
      </w:r>
    </w:p>
    <w:p w14:paraId="2F7B0E86">
      <w:pPr>
        <w:adjustRightInd w:val="0"/>
        <w:snapToGrid w:val="0"/>
        <w:rPr>
          <w:rFonts w:hint="eastAsia" w:ascii="微软雅黑" w:hAnsi="微软雅黑" w:eastAsia="微软雅黑"/>
          <w:szCs w:val="21"/>
        </w:rPr>
      </w:pPr>
      <w:r>
        <w:rPr>
          <w:rFonts w:hint="eastAsia" w:ascii="微软雅黑" w:hAnsi="微软雅黑" w:eastAsia="微软雅黑"/>
          <w:szCs w:val="21"/>
        </w:rPr>
        <w:t>6、MRP、采购计划和物流进向计划的制定</w:t>
      </w:r>
    </w:p>
    <w:p w14:paraId="69DB50F4">
      <w:pPr>
        <w:adjustRightInd w:val="0"/>
        <w:snapToGrid w:val="0"/>
        <w:rPr>
          <w:rFonts w:hint="eastAsia" w:ascii="微软雅黑" w:hAnsi="微软雅黑" w:eastAsia="微软雅黑"/>
          <w:szCs w:val="21"/>
        </w:rPr>
      </w:pPr>
      <w:r>
        <w:rPr>
          <w:rFonts w:hint="eastAsia" w:ascii="微软雅黑" w:hAnsi="微软雅黑" w:eastAsia="微软雅黑"/>
          <w:szCs w:val="21"/>
        </w:rPr>
        <w:t>7、物流DRP计划的制定</w:t>
      </w:r>
    </w:p>
    <w:p w14:paraId="1DBDA2CB">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四、数据化系统在敏捷供应链下的物流管理</w:t>
      </w:r>
    </w:p>
    <w:p w14:paraId="0F1B0CC8">
      <w:pPr>
        <w:adjustRightInd w:val="0"/>
        <w:snapToGrid w:val="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、MTS、MTO、ATO、ETO生产方式上的差别</w:t>
      </w:r>
    </w:p>
    <w:p w14:paraId="1BC60FA1">
      <w:pPr>
        <w:adjustRightInd w:val="0"/>
        <w:snapToGrid w:val="0"/>
        <w:rPr>
          <w:rFonts w:hint="eastAsia" w:ascii="微软雅黑" w:hAnsi="微软雅黑" w:eastAsia="微软雅黑"/>
          <w:szCs w:val="21"/>
        </w:rPr>
      </w:pPr>
      <w:r>
        <w:rPr>
          <w:rFonts w:hint="eastAsia" w:ascii="微软雅黑" w:hAnsi="微软雅黑" w:eastAsia="微软雅黑"/>
          <w:szCs w:val="21"/>
        </w:rPr>
        <w:t>2、敏捷供应链下柔性的BOM物料</w:t>
      </w:r>
    </w:p>
    <w:p w14:paraId="18524518">
      <w:pPr>
        <w:adjustRightInd w:val="0"/>
        <w:snapToGrid w:val="0"/>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、厂内物料流动的优化</w:t>
      </w:r>
    </w:p>
    <w:p w14:paraId="273166A3">
      <w:pPr>
        <w:adjustRightInd w:val="0"/>
        <w:snapToGrid w:val="0"/>
        <w:rPr>
          <w:rFonts w:hint="eastAsia" w:ascii="微软雅黑" w:hAnsi="微软雅黑" w:eastAsia="微软雅黑"/>
          <w:szCs w:val="21"/>
        </w:rPr>
      </w:pPr>
      <w:r>
        <w:rPr>
          <w:rFonts w:hint="eastAsia" w:ascii="微软雅黑" w:hAnsi="微软雅黑" w:eastAsia="微软雅黑"/>
          <w:szCs w:val="21"/>
        </w:rPr>
        <w:t>4、物流网络对敏捷性的影响和决定网络效率的要素</w:t>
      </w:r>
    </w:p>
    <w:p w14:paraId="2D3B488B">
      <w:pPr>
        <w:adjustRightInd w:val="0"/>
        <w:snapToGrid w:val="0"/>
        <w:rPr>
          <w:rFonts w:hint="eastAsia" w:ascii="微软雅黑" w:hAnsi="微软雅黑" w:eastAsia="微软雅黑"/>
          <w:szCs w:val="21"/>
        </w:rPr>
      </w:pPr>
      <w:r>
        <w:rPr>
          <w:rFonts w:hint="eastAsia" w:ascii="微软雅黑" w:hAnsi="微软雅黑" w:eastAsia="微软雅黑"/>
          <w:szCs w:val="21"/>
        </w:rPr>
        <w:t>5、控制运输成本的五大手法是敏捷的手段</w:t>
      </w:r>
    </w:p>
    <w:p w14:paraId="565AC15B">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5.1</w:t>
      </w:r>
      <w:r>
        <w:rPr>
          <w:rFonts w:hint="eastAsia" w:ascii="微软雅黑" w:hAnsi="微软雅黑" w:eastAsia="微软雅黑"/>
          <w:szCs w:val="21"/>
        </w:rPr>
        <w:t>、</w:t>
      </w:r>
      <w:r>
        <w:rPr>
          <w:rFonts w:ascii="微软雅黑" w:hAnsi="微软雅黑" w:eastAsia="微软雅黑"/>
          <w:szCs w:val="21"/>
        </w:rPr>
        <w:t>选择合适的运输工具</w:t>
      </w:r>
    </w:p>
    <w:p w14:paraId="72B8971F">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5.2</w:t>
      </w:r>
      <w:r>
        <w:rPr>
          <w:rFonts w:hint="eastAsia" w:ascii="微软雅黑" w:hAnsi="微软雅黑" w:eastAsia="微软雅黑"/>
          <w:szCs w:val="21"/>
        </w:rPr>
        <w:t>、开展集运方式</w:t>
      </w:r>
    </w:p>
    <w:p w14:paraId="2E8A8303">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5.3</w:t>
      </w:r>
      <w:r>
        <w:rPr>
          <w:rFonts w:hint="eastAsia" w:ascii="微软雅黑" w:hAnsi="微软雅黑" w:eastAsia="微软雅黑"/>
          <w:szCs w:val="21"/>
        </w:rPr>
        <w:t>、直运战略</w:t>
      </w:r>
    </w:p>
    <w:p w14:paraId="12D0E295">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5.4</w:t>
      </w:r>
      <w:r>
        <w:rPr>
          <w:rFonts w:hint="eastAsia" w:ascii="微软雅黑" w:hAnsi="微软雅黑" w:eastAsia="微软雅黑"/>
          <w:szCs w:val="21"/>
        </w:rPr>
        <w:t>、物流外包</w:t>
      </w:r>
    </w:p>
    <w:p w14:paraId="301FFBAD">
      <w:pPr>
        <w:adjustRightInd w:val="0"/>
        <w:snapToGrid w:val="0"/>
        <w:rPr>
          <w:rFonts w:hint="eastAsia" w:ascii="微软雅黑" w:hAnsi="微软雅黑" w:eastAsia="微软雅黑"/>
          <w:szCs w:val="21"/>
        </w:rPr>
      </w:pPr>
      <w:r>
        <w:rPr>
          <w:rFonts w:hint="eastAsia" w:ascii="微软雅黑" w:hAnsi="微软雅黑" w:eastAsia="微软雅黑"/>
          <w:szCs w:val="21"/>
        </w:rPr>
        <w:t xml:space="preserve"> </w:t>
      </w:r>
      <w:r>
        <w:rPr>
          <w:rFonts w:ascii="微软雅黑" w:hAnsi="微软雅黑" w:eastAsia="微软雅黑"/>
          <w:szCs w:val="21"/>
        </w:rPr>
        <w:t xml:space="preserve"> 5.5</w:t>
      </w:r>
      <w:r>
        <w:rPr>
          <w:rFonts w:hint="eastAsia" w:ascii="微软雅黑" w:hAnsi="微软雅黑" w:eastAsia="微软雅黑"/>
          <w:szCs w:val="21"/>
        </w:rPr>
        <w:t>、合理选择运输路线</w:t>
      </w:r>
    </w:p>
    <w:p w14:paraId="5606E13B">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五、数据化系统下的敏捷供应链下的仓储管理</w:t>
      </w:r>
    </w:p>
    <w:p w14:paraId="60FB75EA">
      <w:pPr>
        <w:adjustRightInd w:val="0"/>
        <w:snapToGrid w:val="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、仓储管理对敏捷供应链的缓冲和数据中心的作用</w:t>
      </w:r>
    </w:p>
    <w:p w14:paraId="29E777E9">
      <w:pPr>
        <w:adjustRightInd w:val="0"/>
        <w:snapToGrid w:val="0"/>
        <w:rPr>
          <w:rFonts w:hint="eastAsia" w:ascii="微软雅黑" w:hAnsi="微软雅黑" w:eastAsia="微软雅黑"/>
          <w:szCs w:val="21"/>
        </w:rPr>
      </w:pPr>
      <w:r>
        <w:rPr>
          <w:rFonts w:hint="eastAsia" w:ascii="微软雅黑" w:hAnsi="微软雅黑" w:eastAsia="微软雅黑"/>
          <w:szCs w:val="21"/>
        </w:rPr>
        <w:t>2、仓储管理的4大要素</w:t>
      </w:r>
    </w:p>
    <w:p w14:paraId="2FF000AF">
      <w:pPr>
        <w:adjustRightInd w:val="0"/>
        <w:snapToGrid w:val="0"/>
        <w:rPr>
          <w:rFonts w:hint="eastAsia" w:ascii="微软雅黑" w:hAnsi="微软雅黑" w:eastAsia="微软雅黑"/>
          <w:szCs w:val="21"/>
        </w:rPr>
      </w:pPr>
      <w:r>
        <w:rPr>
          <w:rFonts w:hint="eastAsia" w:ascii="微软雅黑" w:hAnsi="微软雅黑" w:eastAsia="微软雅黑"/>
          <w:szCs w:val="21"/>
        </w:rPr>
        <w:t>3、仓储管理的5大过程组</w:t>
      </w:r>
    </w:p>
    <w:p w14:paraId="255707A7">
      <w:pPr>
        <w:adjustRightInd w:val="0"/>
        <w:snapToGrid w:val="0"/>
        <w:rPr>
          <w:rFonts w:hint="eastAsia" w:ascii="微软雅黑" w:hAnsi="微软雅黑" w:eastAsia="微软雅黑"/>
          <w:szCs w:val="21"/>
        </w:rPr>
      </w:pPr>
      <w:r>
        <w:rPr>
          <w:rFonts w:hint="eastAsia" w:ascii="微软雅黑" w:hAnsi="微软雅黑" w:eastAsia="微软雅黑"/>
          <w:szCs w:val="21"/>
        </w:rPr>
        <w:t>4、仓储管理的选址和库内规划</w:t>
      </w:r>
    </w:p>
    <w:p w14:paraId="16CD4F7D">
      <w:pPr>
        <w:adjustRightInd w:val="0"/>
        <w:snapToGrid w:val="0"/>
        <w:rPr>
          <w:rFonts w:hint="eastAsia" w:ascii="微软雅黑" w:hAnsi="微软雅黑" w:eastAsia="微软雅黑"/>
          <w:szCs w:val="21"/>
        </w:rPr>
      </w:pPr>
      <w:r>
        <w:rPr>
          <w:rFonts w:hint="eastAsia" w:ascii="微软雅黑" w:hAnsi="微软雅黑" w:eastAsia="微软雅黑"/>
          <w:szCs w:val="21"/>
        </w:rPr>
        <w:t>5、仓储运营的人力资源管理和组织架构设计</w:t>
      </w:r>
    </w:p>
    <w:p w14:paraId="5D6F1C44">
      <w:pPr>
        <w:adjustRightInd w:val="0"/>
        <w:snapToGrid w:val="0"/>
        <w:rPr>
          <w:rFonts w:hint="eastAsia" w:ascii="微软雅黑" w:hAnsi="微软雅黑" w:eastAsia="微软雅黑"/>
          <w:szCs w:val="21"/>
        </w:rPr>
      </w:pPr>
      <w:r>
        <w:rPr>
          <w:rFonts w:hint="eastAsia" w:ascii="微软雅黑" w:hAnsi="微软雅黑" w:eastAsia="微软雅黑"/>
          <w:szCs w:val="21"/>
        </w:rPr>
        <w:t>6、仓储运营常见的考核指标</w:t>
      </w:r>
    </w:p>
    <w:p w14:paraId="168FBDD4">
      <w:pPr>
        <w:adjustRightInd w:val="0"/>
        <w:snapToGrid w:val="0"/>
        <w:rPr>
          <w:rFonts w:hint="eastAsia" w:ascii="微软雅黑" w:hAnsi="微软雅黑" w:eastAsia="微软雅黑"/>
          <w:szCs w:val="21"/>
        </w:rPr>
      </w:pPr>
      <w:r>
        <w:rPr>
          <w:rFonts w:hint="eastAsia" w:ascii="微软雅黑" w:hAnsi="微软雅黑" w:eastAsia="微软雅黑"/>
          <w:szCs w:val="21"/>
        </w:rPr>
        <w:t>7、仓储安全与风险合规</w:t>
      </w:r>
    </w:p>
    <w:p w14:paraId="23723559">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六、敏捷供应链下的库存管理</w:t>
      </w:r>
    </w:p>
    <w:p w14:paraId="6F756E2C">
      <w:pPr>
        <w:adjustRightInd w:val="0"/>
        <w:snapToGrid w:val="0"/>
        <w:rPr>
          <w:rFonts w:hint="eastAsia" w:ascii="微软雅黑" w:hAnsi="微软雅黑" w:eastAsia="微软雅黑"/>
          <w:szCs w:val="21"/>
        </w:rPr>
      </w:pPr>
      <w:r>
        <w:rPr>
          <w:rFonts w:hint="eastAsia" w:ascii="微软雅黑" w:hAnsi="微软雅黑" w:eastAsia="微软雅黑"/>
          <w:szCs w:val="21"/>
        </w:rPr>
        <w:t>1、如何控制库存让效率最高</w:t>
      </w:r>
    </w:p>
    <w:p w14:paraId="07107BD5">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1、经济批量发控制法</w:t>
      </w:r>
    </w:p>
    <w:p w14:paraId="1E6B58F2">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.2、存货ABC分析控制法</w:t>
      </w:r>
    </w:p>
    <w:p w14:paraId="17400918">
      <w:pPr>
        <w:adjustRightInd w:val="0"/>
        <w:snapToGrid w:val="0"/>
        <w:ind w:firstLine="210" w:firstLineChars="100"/>
        <w:rPr>
          <w:rFonts w:hint="eastAsia" w:ascii="微软雅黑" w:hAnsi="微软雅黑" w:eastAsia="微软雅黑"/>
          <w:szCs w:val="21"/>
        </w:rPr>
      </w:pPr>
      <w:bookmarkStart w:id="1" w:name="_Hlk84178051"/>
      <w:r>
        <w:rPr>
          <w:rFonts w:ascii="微软雅黑" w:hAnsi="微软雅黑" w:eastAsia="微软雅黑"/>
          <w:szCs w:val="21"/>
        </w:rPr>
        <w:t>1.</w:t>
      </w:r>
      <w:r>
        <w:rPr>
          <w:rFonts w:hint="eastAsia" w:ascii="微软雅黑" w:hAnsi="微软雅黑" w:eastAsia="微软雅黑"/>
          <w:szCs w:val="21"/>
        </w:rPr>
        <w:t>3、</w:t>
      </w:r>
      <w:bookmarkEnd w:id="1"/>
      <w:r>
        <w:rPr>
          <w:rFonts w:hint="eastAsia" w:ascii="微软雅黑" w:hAnsi="微软雅黑" w:eastAsia="微软雅黑"/>
          <w:szCs w:val="21"/>
        </w:rPr>
        <w:t>CVA存货控制法</w:t>
      </w:r>
    </w:p>
    <w:p w14:paraId="0EA994A5">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1.4、</w:t>
      </w:r>
      <w:r>
        <w:rPr>
          <w:rFonts w:hint="eastAsia" w:ascii="微软雅黑" w:hAnsi="微软雅黑" w:eastAsia="微软雅黑"/>
          <w:szCs w:val="21"/>
        </w:rPr>
        <w:t>牛鞭效应</w:t>
      </w:r>
    </w:p>
    <w:p w14:paraId="1AB836E4">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1.5、</w:t>
      </w:r>
      <w:r>
        <w:rPr>
          <w:rFonts w:hint="eastAsia" w:ascii="微软雅黑" w:hAnsi="微软雅黑" w:eastAsia="微软雅黑"/>
          <w:szCs w:val="21"/>
        </w:rPr>
        <w:t>定量与定期控制</w:t>
      </w:r>
    </w:p>
    <w:p w14:paraId="281E7E1B">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1.6、MRP</w:t>
      </w:r>
      <w:r>
        <w:rPr>
          <w:rFonts w:hint="eastAsia" w:ascii="微软雅黑" w:hAnsi="微软雅黑" w:eastAsia="微软雅黑"/>
          <w:szCs w:val="21"/>
        </w:rPr>
        <w:t>、JIT控制法</w:t>
      </w:r>
    </w:p>
    <w:p w14:paraId="34D88AE8">
      <w:pPr>
        <w:adjustRightInd w:val="0"/>
        <w:snapToGrid w:val="0"/>
        <w:rPr>
          <w:rFonts w:hint="eastAsia"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、仓库如何确定安全库存？</w:t>
      </w:r>
    </w:p>
    <w:p w14:paraId="7255A97D">
      <w:pPr>
        <w:adjustRightInd w:val="0"/>
        <w:snapToGrid w:val="0"/>
        <w:ind w:firstLine="210" w:firstLineChars="100"/>
        <w:rPr>
          <w:rFonts w:hint="eastAsia" w:ascii="微软雅黑" w:hAnsi="微软雅黑" w:eastAsia="微软雅黑"/>
          <w:szCs w:val="21"/>
        </w:rPr>
      </w:pPr>
      <w:bookmarkStart w:id="2" w:name="_Hlk84178242"/>
      <w:r>
        <w:rPr>
          <w:rFonts w:ascii="微软雅黑" w:hAnsi="微软雅黑" w:eastAsia="微软雅黑"/>
          <w:szCs w:val="21"/>
        </w:rPr>
        <w:t>2.1</w:t>
      </w:r>
      <w:bookmarkEnd w:id="2"/>
      <w:r>
        <w:rPr>
          <w:rFonts w:hint="eastAsia" w:ascii="微软雅黑" w:hAnsi="微软雅黑" w:eastAsia="微软雅黑"/>
          <w:szCs w:val="21"/>
        </w:rPr>
        <w:t>、</w:t>
      </w:r>
      <w:r>
        <w:rPr>
          <w:rFonts w:ascii="微软雅黑" w:hAnsi="微软雅黑" w:eastAsia="微软雅黑"/>
          <w:szCs w:val="21"/>
        </w:rPr>
        <w:t>库存分类</w:t>
      </w:r>
    </w:p>
    <w:p w14:paraId="5B541DFD">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2.2</w:t>
      </w:r>
      <w:r>
        <w:rPr>
          <w:rFonts w:hint="eastAsia" w:ascii="微软雅黑" w:hAnsi="微软雅黑" w:eastAsia="微软雅黑"/>
          <w:szCs w:val="21"/>
        </w:rPr>
        <w:t>、</w:t>
      </w:r>
      <w:r>
        <w:rPr>
          <w:rFonts w:ascii="微软雅黑" w:hAnsi="微软雅黑" w:eastAsia="微软雅黑"/>
          <w:szCs w:val="21"/>
        </w:rPr>
        <w:t>影响安全库存的三大因素</w:t>
      </w:r>
    </w:p>
    <w:p w14:paraId="450F5D3C">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2.3</w:t>
      </w:r>
      <w:r>
        <w:rPr>
          <w:rFonts w:hint="eastAsia" w:ascii="微软雅黑" w:hAnsi="微软雅黑" w:eastAsia="微软雅黑"/>
          <w:szCs w:val="21"/>
        </w:rPr>
        <w:t>、</w:t>
      </w:r>
      <w:r>
        <w:rPr>
          <w:rFonts w:ascii="微软雅黑" w:hAnsi="微软雅黑" w:eastAsia="微软雅黑"/>
          <w:szCs w:val="21"/>
        </w:rPr>
        <w:t>安全库存如何计算</w:t>
      </w:r>
    </w:p>
    <w:p w14:paraId="797896F8">
      <w:pPr>
        <w:adjustRightInd w:val="0"/>
        <w:snapToGrid w:val="0"/>
        <w:ind w:firstLine="210" w:firstLineChars="100"/>
        <w:rPr>
          <w:rFonts w:hint="eastAsia" w:ascii="微软雅黑" w:hAnsi="微软雅黑" w:eastAsia="微软雅黑"/>
          <w:szCs w:val="21"/>
        </w:rPr>
      </w:pPr>
      <w:r>
        <w:rPr>
          <w:rFonts w:ascii="微软雅黑" w:hAnsi="微软雅黑" w:eastAsia="微软雅黑"/>
          <w:szCs w:val="21"/>
        </w:rPr>
        <w:t>2.4</w:t>
      </w:r>
      <w:r>
        <w:rPr>
          <w:rFonts w:hint="eastAsia" w:ascii="微软雅黑" w:hAnsi="微软雅黑" w:eastAsia="微软雅黑"/>
          <w:szCs w:val="21"/>
        </w:rPr>
        <w:t>、</w:t>
      </w:r>
      <w:r>
        <w:rPr>
          <w:rFonts w:ascii="微软雅黑" w:hAnsi="微软雅黑" w:eastAsia="微软雅黑"/>
          <w:szCs w:val="21"/>
        </w:rPr>
        <w:t>如何搞定仓库最高库存量和最低库存量</w:t>
      </w:r>
    </w:p>
    <w:p w14:paraId="3B44A809">
      <w:pPr>
        <w:adjustRightInd w:val="0"/>
        <w:snapToGrid w:val="0"/>
        <w:rPr>
          <w:rFonts w:hint="eastAsia"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、库存管理和物流的关系</w:t>
      </w:r>
    </w:p>
    <w:p w14:paraId="53EF2C7F">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七、智能化、数字化技术对敏捷供应链的影响和应用场景</w:t>
      </w:r>
    </w:p>
    <w:p w14:paraId="198AEC11">
      <w:pPr>
        <w:adjustRightInd w:val="0"/>
        <w:snapToGrid w:val="0"/>
        <w:rPr>
          <w:rFonts w:hint="eastAsia" w:ascii="微软雅黑" w:hAnsi="微软雅黑" w:eastAsia="微软雅黑"/>
          <w:szCs w:val="21"/>
        </w:rPr>
      </w:pPr>
      <w:r>
        <w:rPr>
          <w:rFonts w:hint="eastAsia" w:ascii="微软雅黑" w:hAnsi="微软雅黑" w:eastAsia="微软雅黑"/>
          <w:szCs w:val="21"/>
        </w:rPr>
        <w:t>1、物联网技术在无人化仓储、关灯工厂、智能物流领域的应用</w:t>
      </w:r>
    </w:p>
    <w:p w14:paraId="018EF92F">
      <w:pPr>
        <w:adjustRightInd w:val="0"/>
        <w:snapToGrid w:val="0"/>
        <w:rPr>
          <w:rFonts w:hint="eastAsia" w:ascii="微软雅黑" w:hAnsi="微软雅黑" w:eastAsia="微软雅黑"/>
          <w:szCs w:val="21"/>
        </w:rPr>
      </w:pPr>
      <w:r>
        <w:rPr>
          <w:rFonts w:hint="eastAsia" w:ascii="微软雅黑" w:hAnsi="微软雅黑" w:eastAsia="微软雅黑"/>
          <w:szCs w:val="21"/>
        </w:rPr>
        <w:t>2、大数据分析技术对需求预测准确率的提升</w:t>
      </w:r>
    </w:p>
    <w:p w14:paraId="64FA2B9B">
      <w:pPr>
        <w:adjustRightInd w:val="0"/>
        <w:snapToGrid w:val="0"/>
        <w:rPr>
          <w:rFonts w:hint="eastAsia" w:ascii="微软雅黑" w:hAnsi="微软雅黑" w:eastAsia="微软雅黑"/>
          <w:szCs w:val="21"/>
        </w:rPr>
      </w:pPr>
      <w:r>
        <w:rPr>
          <w:rFonts w:hint="eastAsia" w:ascii="微软雅黑" w:hAnsi="微软雅黑" w:eastAsia="微软雅黑"/>
          <w:szCs w:val="21"/>
        </w:rPr>
        <w:t>3、人工智能（AI）技术在质量、研发、仓储物流安全上的影响</w:t>
      </w:r>
    </w:p>
    <w:p w14:paraId="6C67C79A">
      <w:pPr>
        <w:adjustRightInd w:val="0"/>
        <w:snapToGrid w:val="0"/>
        <w:rPr>
          <w:rFonts w:hint="eastAsia" w:ascii="微软雅黑" w:hAnsi="微软雅黑" w:eastAsia="微软雅黑"/>
          <w:szCs w:val="21"/>
        </w:rPr>
      </w:pPr>
      <w:r>
        <w:rPr>
          <w:rFonts w:hint="eastAsia" w:ascii="微软雅黑" w:hAnsi="微软雅黑" w:eastAsia="微软雅黑"/>
          <w:szCs w:val="21"/>
        </w:rPr>
        <w:t>4、云计算技术对数据一体化、信息互联互通的帮助</w:t>
      </w:r>
    </w:p>
    <w:p w14:paraId="646152A2">
      <w:pPr>
        <w:adjustRightInd w:val="0"/>
        <w:snapToGrid w:val="0"/>
        <w:rPr>
          <w:rFonts w:hint="eastAsia" w:ascii="微软雅黑" w:hAnsi="微软雅黑" w:eastAsia="微软雅黑"/>
          <w:szCs w:val="21"/>
        </w:rPr>
      </w:pPr>
      <w:r>
        <w:rPr>
          <w:rFonts w:hint="eastAsia" w:ascii="微软雅黑" w:hAnsi="微软雅黑" w:eastAsia="微软雅黑"/>
          <w:szCs w:val="21"/>
        </w:rPr>
        <w:t>5、区块链技术的原理和在物流过程中的管理作用</w:t>
      </w:r>
    </w:p>
    <w:p w14:paraId="04ABFC14">
      <w:pPr>
        <w:adjustRightInd w:val="0"/>
        <w:snapToGrid w:val="0"/>
        <w:rPr>
          <w:rFonts w:hint="eastAsia" w:ascii="微软雅黑" w:hAnsi="微软雅黑" w:eastAsia="微软雅黑"/>
          <w:szCs w:val="21"/>
        </w:rPr>
      </w:pPr>
      <w:r>
        <w:rPr>
          <w:rFonts w:hint="eastAsia" w:ascii="微软雅黑" w:hAnsi="微软雅黑" w:eastAsia="微软雅黑"/>
          <w:szCs w:val="21"/>
        </w:rPr>
        <w:t>6、机器人技术对仓储、运输和生产等职能的效率提升</w:t>
      </w:r>
    </w:p>
    <w:p w14:paraId="54F23BF8">
      <w:pPr>
        <w:adjustRightInd w:val="0"/>
        <w:snapToGrid w:val="0"/>
        <w:rPr>
          <w:rFonts w:hint="eastAsia" w:ascii="微软雅黑" w:hAnsi="微软雅黑" w:eastAsia="微软雅黑"/>
          <w:szCs w:val="21"/>
        </w:rPr>
      </w:pPr>
      <w:r>
        <w:rPr>
          <w:rFonts w:hint="eastAsia" w:ascii="微软雅黑" w:hAnsi="微软雅黑" w:eastAsia="微软雅黑"/>
          <w:szCs w:val="21"/>
        </w:rPr>
        <w:t>7、无人机技术和低空经济对供应链管理的未来影响</w:t>
      </w:r>
    </w:p>
    <w:p w14:paraId="6BF3757A">
      <w:pPr>
        <w:adjustRightInd w:val="0"/>
        <w:snapToGrid w:val="0"/>
        <w:rPr>
          <w:rFonts w:hint="eastAsia" w:ascii="微软雅黑" w:hAnsi="微软雅黑" w:eastAsia="微软雅黑"/>
          <w:szCs w:val="21"/>
        </w:rPr>
      </w:pPr>
      <w:r>
        <w:rPr>
          <w:rFonts w:hint="eastAsia" w:ascii="微软雅黑" w:hAnsi="微软雅黑" w:eastAsia="微软雅黑"/>
          <w:szCs w:val="21"/>
        </w:rPr>
        <w:t>8、数字化转型不只是购买软硬件设备，其有远为深刻的内涵。</w:t>
      </w:r>
    </w:p>
    <w:p w14:paraId="647F4DCF">
      <w:pPr>
        <w:adjustRightInd w:val="0"/>
        <w:snapToGrid w:val="0"/>
        <w:rPr>
          <w:rFonts w:hint="eastAsia" w:ascii="微软雅黑" w:hAnsi="微软雅黑" w:eastAsia="微软雅黑"/>
          <w:szCs w:val="21"/>
        </w:rPr>
      </w:pPr>
      <w:r>
        <w:rPr>
          <w:rFonts w:hint="eastAsia" w:ascii="微软雅黑" w:hAnsi="微软雅黑" w:eastAsia="微软雅黑"/>
          <w:szCs w:val="21"/>
        </w:rPr>
        <w:t>8、供应链管理人员如何积极参与到数字化建设工作中来</w:t>
      </w:r>
    </w:p>
    <w:p w14:paraId="02D8D93E">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八、敏捷供应链下的仓储设备和物流采购管理</w:t>
      </w:r>
    </w:p>
    <w:p w14:paraId="5412C73C">
      <w:pPr>
        <w:adjustRightInd w:val="0"/>
        <w:snapToGrid w:val="0"/>
        <w:rPr>
          <w:rFonts w:hint="eastAsia" w:ascii="微软雅黑" w:hAnsi="微软雅黑" w:eastAsia="微软雅黑"/>
          <w:szCs w:val="21"/>
        </w:rPr>
      </w:pPr>
      <w:r>
        <w:rPr>
          <w:rFonts w:hint="eastAsia" w:ascii="微软雅黑" w:hAnsi="微软雅黑" w:eastAsia="微软雅黑"/>
          <w:szCs w:val="21"/>
        </w:rPr>
        <w:t>1、战略采购方法概述</w:t>
      </w:r>
    </w:p>
    <w:p w14:paraId="6F722CFA">
      <w:pPr>
        <w:adjustRightInd w:val="0"/>
        <w:snapToGrid w:val="0"/>
        <w:rPr>
          <w:rFonts w:hint="eastAsia" w:ascii="微软雅黑" w:hAnsi="微软雅黑" w:eastAsia="微软雅黑"/>
          <w:szCs w:val="21"/>
        </w:rPr>
      </w:pPr>
      <w:r>
        <w:rPr>
          <w:rFonts w:hint="eastAsia" w:ascii="微软雅黑" w:hAnsi="微软雅黑" w:eastAsia="微软雅黑"/>
          <w:szCs w:val="21"/>
        </w:rPr>
        <w:t>2、建立采购类别</w:t>
      </w:r>
    </w:p>
    <w:p w14:paraId="0A345E0C">
      <w:pPr>
        <w:adjustRightInd w:val="0"/>
        <w:snapToGrid w:val="0"/>
        <w:rPr>
          <w:rFonts w:hint="eastAsia" w:ascii="微软雅黑" w:hAnsi="微软雅黑" w:eastAsia="微软雅黑"/>
          <w:szCs w:val="21"/>
        </w:rPr>
      </w:pPr>
      <w:r>
        <w:rPr>
          <w:rFonts w:hint="eastAsia" w:ascii="微软雅黑" w:hAnsi="微软雅黑" w:eastAsia="微软雅黑"/>
          <w:szCs w:val="21"/>
        </w:rPr>
        <w:t>2、设计采购战略</w:t>
      </w:r>
    </w:p>
    <w:p w14:paraId="1608A324">
      <w:pPr>
        <w:adjustRightInd w:val="0"/>
        <w:snapToGrid w:val="0"/>
        <w:rPr>
          <w:rFonts w:hint="eastAsia" w:ascii="微软雅黑" w:hAnsi="微软雅黑" w:eastAsia="微软雅黑"/>
          <w:szCs w:val="21"/>
        </w:rPr>
      </w:pPr>
      <w:r>
        <w:rPr>
          <w:rFonts w:hint="eastAsia" w:ascii="微软雅黑" w:hAnsi="微软雅黑" w:eastAsia="微软雅黑"/>
          <w:szCs w:val="21"/>
        </w:rPr>
        <w:t>3、建立供应商名单</w:t>
      </w:r>
    </w:p>
    <w:p w14:paraId="64675911">
      <w:pPr>
        <w:adjustRightInd w:val="0"/>
        <w:snapToGrid w:val="0"/>
        <w:rPr>
          <w:rFonts w:hint="eastAsia" w:ascii="微软雅黑" w:hAnsi="微软雅黑" w:eastAsia="微软雅黑"/>
          <w:szCs w:val="21"/>
        </w:rPr>
      </w:pPr>
      <w:r>
        <w:rPr>
          <w:rFonts w:hint="eastAsia" w:ascii="微软雅黑" w:hAnsi="微软雅黑" w:eastAsia="微软雅黑"/>
          <w:szCs w:val="21"/>
        </w:rPr>
        <w:t>4、选择实施方式</w:t>
      </w:r>
    </w:p>
    <w:p w14:paraId="6BD0DBD5">
      <w:pPr>
        <w:adjustRightInd w:val="0"/>
        <w:snapToGrid w:val="0"/>
        <w:rPr>
          <w:rFonts w:hint="eastAsia" w:ascii="微软雅黑" w:hAnsi="微软雅黑" w:eastAsia="微软雅黑"/>
          <w:szCs w:val="21"/>
        </w:rPr>
      </w:pPr>
      <w:r>
        <w:rPr>
          <w:rFonts w:hint="eastAsia" w:ascii="微软雅黑" w:hAnsi="微软雅黑" w:eastAsia="微软雅黑"/>
          <w:szCs w:val="21"/>
        </w:rPr>
        <w:t>5、选择供应商</w:t>
      </w:r>
    </w:p>
    <w:p w14:paraId="5F3E8320">
      <w:pPr>
        <w:adjustRightInd w:val="0"/>
        <w:snapToGrid w:val="0"/>
        <w:rPr>
          <w:rFonts w:hint="eastAsia" w:ascii="微软雅黑" w:hAnsi="微软雅黑" w:eastAsia="微软雅黑"/>
          <w:szCs w:val="21"/>
        </w:rPr>
      </w:pPr>
      <w:r>
        <w:rPr>
          <w:rFonts w:hint="eastAsia" w:ascii="微软雅黑" w:hAnsi="微软雅黑" w:eastAsia="微软雅黑"/>
          <w:szCs w:val="21"/>
        </w:rPr>
        <w:t>6、考核与管理物流承运商与设备供应商</w:t>
      </w:r>
    </w:p>
    <w:p w14:paraId="7C393B7D">
      <w:pPr>
        <w:adjustRightInd w:val="0"/>
        <w:snapToGrid w:val="0"/>
        <w:rPr>
          <w:rFonts w:hint="eastAsia" w:ascii="微软雅黑" w:hAnsi="微软雅黑" w:eastAsia="微软雅黑"/>
          <w:b/>
          <w:bCs/>
          <w:szCs w:val="21"/>
        </w:rPr>
      </w:pPr>
      <w:r>
        <w:rPr>
          <w:rFonts w:hint="eastAsia" w:ascii="微软雅黑" w:hAnsi="微软雅黑" w:eastAsia="微软雅黑"/>
          <w:b/>
          <w:bCs/>
          <w:szCs w:val="21"/>
        </w:rPr>
        <w:t>九、未来物流和供应链的发展趋势</w:t>
      </w:r>
    </w:p>
    <w:p w14:paraId="3AAC1496">
      <w:pPr>
        <w:adjustRightInd w:val="0"/>
        <w:snapToGrid w:val="0"/>
        <w:rPr>
          <w:rFonts w:hint="eastAsia" w:ascii="微软雅黑" w:hAnsi="微软雅黑" w:eastAsia="微软雅黑"/>
          <w:szCs w:val="21"/>
        </w:rPr>
      </w:pPr>
      <w:r>
        <w:rPr>
          <w:rFonts w:hint="eastAsia" w:ascii="微软雅黑" w:hAnsi="微软雅黑" w:eastAsia="微软雅黑"/>
          <w:szCs w:val="21"/>
        </w:rPr>
        <w:t>1、技术发展对物流工作的影响趋势</w:t>
      </w:r>
    </w:p>
    <w:p w14:paraId="769E80CD">
      <w:pPr>
        <w:adjustRightInd w:val="0"/>
        <w:snapToGrid w:val="0"/>
        <w:rPr>
          <w:rFonts w:hint="eastAsia" w:ascii="微软雅黑" w:hAnsi="微软雅黑" w:eastAsia="微软雅黑"/>
          <w:szCs w:val="21"/>
        </w:rPr>
      </w:pPr>
      <w:r>
        <w:rPr>
          <w:rFonts w:hint="eastAsia" w:ascii="微软雅黑" w:hAnsi="微软雅黑" w:eastAsia="微软雅黑"/>
          <w:szCs w:val="21"/>
        </w:rPr>
        <w:t>2、物流与上下游部门整合的趋势</w:t>
      </w:r>
    </w:p>
    <w:p w14:paraId="39C02F29">
      <w:pPr>
        <w:adjustRightInd w:val="0"/>
        <w:snapToGrid w:val="0"/>
        <w:rPr>
          <w:rFonts w:hint="eastAsia" w:ascii="微软雅黑" w:hAnsi="微软雅黑" w:eastAsia="微软雅黑"/>
          <w:szCs w:val="21"/>
        </w:rPr>
      </w:pPr>
      <w:r>
        <w:rPr>
          <w:rFonts w:hint="eastAsia" w:ascii="微软雅黑" w:hAnsi="微软雅黑" w:eastAsia="微软雅黑"/>
          <w:szCs w:val="21"/>
        </w:rPr>
        <w:t>3、供应链敏捷性要求的提高对人员技能要求的趋势</w:t>
      </w:r>
    </w:p>
    <w:p w14:paraId="4710215C">
      <w:pPr>
        <w:adjustRightInd w:val="0"/>
        <w:snapToGrid w:val="0"/>
        <w:rPr>
          <w:rFonts w:hint="eastAsia" w:ascii="微软雅黑" w:hAnsi="微软雅黑" w:eastAsia="微软雅黑" w:cs="宋体"/>
          <w:color w:val="000000" w:themeColor="text1"/>
          <w:kern w:val="0"/>
          <w:sz w:val="24"/>
          <w:szCs w:val="24"/>
          <w14:textFill>
            <w14:solidFill>
              <w14:schemeClr w14:val="tx1"/>
            </w14:solidFill>
          </w14:textFill>
        </w:rPr>
      </w:pPr>
    </w:p>
    <w:p w14:paraId="4AE67FC7">
      <w:pPr>
        <w:adjustRightInd w:val="0"/>
        <w:snapToGrid w:val="0"/>
        <w:spacing w:line="276" w:lineRule="auto"/>
        <w:rPr>
          <w:rFonts w:hint="eastAsia" w:ascii="微软雅黑" w:hAnsi="微软雅黑" w:eastAsia="微软雅黑"/>
          <w:b/>
          <w:sz w:val="24"/>
          <w:szCs w:val="21"/>
        </w:rPr>
      </w:pPr>
      <w:r>
        <w:rPr>
          <w:rFonts w:hint="eastAsia" w:ascii="微软雅黑" w:hAnsi="微软雅黑" w:eastAsia="微软雅黑" w:cs="宋体"/>
          <w:b/>
          <w:bCs/>
          <w:kern w:val="0"/>
          <w:sz w:val="24"/>
          <w:szCs w:val="21"/>
        </w:rPr>
        <w:t>夏先生 Mr.</w:t>
      </w:r>
      <w:r>
        <w:rPr>
          <w:rFonts w:ascii="微软雅黑" w:hAnsi="微软雅黑" w:eastAsia="微软雅黑" w:cs="宋体"/>
          <w:b/>
          <w:bCs/>
          <w:kern w:val="0"/>
          <w:sz w:val="24"/>
          <w:szCs w:val="21"/>
        </w:rPr>
        <w:t>T</w:t>
      </w:r>
      <w:r>
        <w:rPr>
          <w:rFonts w:hint="eastAsia" w:ascii="微软雅黑" w:hAnsi="微软雅黑" w:eastAsia="微软雅黑" w:cs="宋体"/>
          <w:b/>
          <w:bCs/>
          <w:kern w:val="0"/>
          <w:sz w:val="24"/>
          <w:szCs w:val="21"/>
        </w:rPr>
        <w:t>eddy Xia</w:t>
      </w:r>
    </w:p>
    <w:p w14:paraId="07C0C146">
      <w:pPr>
        <w:widowControl/>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专业背景：</w:t>
      </w:r>
    </w:p>
    <w:p w14:paraId="08C354F4">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加拿大滑铁卢大学数学院优化数学系，供应链运营优化专业</w:t>
      </w:r>
      <w:r>
        <w:rPr>
          <w:rFonts w:ascii="微软雅黑" w:hAnsi="微软雅黑" w:eastAsia="微软雅黑"/>
          <w:color w:val="000000"/>
          <w:szCs w:val="21"/>
        </w:rPr>
        <w:t>方向</w:t>
      </w:r>
    </w:p>
    <w:p w14:paraId="489EC2CC">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美国供应管理协会（ISM）CPM资质证书</w:t>
      </w:r>
    </w:p>
    <w:p w14:paraId="0DA3E1C1">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美国项目管理协会（PMI）资质证书</w:t>
      </w:r>
    </w:p>
    <w:p w14:paraId="63187431">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ISM</w:t>
      </w:r>
      <w:r>
        <w:rPr>
          <w:rFonts w:ascii="微软雅黑" w:hAnsi="微软雅黑" w:eastAsia="微软雅黑"/>
          <w:color w:val="000000"/>
          <w:szCs w:val="21"/>
        </w:rPr>
        <w:t xml:space="preserve"> / </w:t>
      </w:r>
      <w:r>
        <w:rPr>
          <w:rFonts w:hint="eastAsia" w:ascii="微软雅黑" w:hAnsi="微软雅黑" w:eastAsia="微软雅黑"/>
          <w:color w:val="000000"/>
          <w:szCs w:val="21"/>
        </w:rPr>
        <w:t>CPSM证书的讲师资格认证</w:t>
      </w:r>
    </w:p>
    <w:p w14:paraId="3C2E55CA">
      <w:pPr>
        <w:pStyle w:val="8"/>
        <w:numPr>
          <w:ilvl w:val="0"/>
          <w:numId w:val="3"/>
        </w:numPr>
        <w:adjustRightInd w:val="0"/>
        <w:snapToGrid w:val="0"/>
        <w:spacing w:line="276" w:lineRule="auto"/>
        <w:ind w:firstLineChars="0"/>
        <w:jc w:val="left"/>
        <w:rPr>
          <w:rFonts w:hint="eastAsia" w:ascii="微软雅黑" w:hAnsi="微软雅黑" w:eastAsia="微软雅黑"/>
          <w:color w:val="000000"/>
          <w:szCs w:val="21"/>
        </w:rPr>
      </w:pPr>
      <w:r>
        <w:rPr>
          <w:rFonts w:hint="eastAsia" w:ascii="微软雅黑" w:hAnsi="微软雅黑" w:eastAsia="微软雅黑"/>
          <w:color w:val="000000"/>
          <w:szCs w:val="21"/>
        </w:rPr>
        <w:t>可中英文授课</w:t>
      </w:r>
    </w:p>
    <w:p w14:paraId="589E05FD">
      <w:pPr>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行业资质：</w:t>
      </w:r>
    </w:p>
    <w:p w14:paraId="4158B26C">
      <w:pPr>
        <w:widowControl/>
        <w:adjustRightInd w:val="0"/>
        <w:snapToGrid w:val="0"/>
        <w:spacing w:line="276" w:lineRule="auto"/>
        <w:ind w:firstLine="420"/>
        <w:jc w:val="left"/>
        <w:rPr>
          <w:rFonts w:hint="eastAsia" w:ascii="微软雅黑" w:hAnsi="微软雅黑" w:eastAsia="微软雅黑"/>
          <w:szCs w:val="21"/>
        </w:rPr>
      </w:pPr>
      <w:r>
        <w:rPr>
          <w:rFonts w:hint="eastAsia" w:ascii="微软雅黑" w:hAnsi="微软雅黑" w:eastAsia="微软雅黑"/>
          <w:szCs w:val="21"/>
        </w:rPr>
        <w:t>十几年作为世界500强企业集团公司供应链经理，涉及领域包括生产计划、库存控制、sourcing、物料计划管理、仓储管理等，曾但任联想电脑事业部运营管理经理；篱笆网电子商务采购物流总监。</w:t>
      </w:r>
    </w:p>
    <w:p w14:paraId="02C1A836">
      <w:pPr>
        <w:widowControl/>
        <w:adjustRightInd w:val="0"/>
        <w:snapToGrid w:val="0"/>
        <w:spacing w:line="276" w:lineRule="auto"/>
        <w:ind w:firstLine="420"/>
        <w:jc w:val="left"/>
        <w:rPr>
          <w:rFonts w:hint="eastAsia" w:ascii="微软雅黑" w:hAnsi="微软雅黑" w:eastAsia="微软雅黑"/>
          <w:szCs w:val="21"/>
        </w:rPr>
      </w:pPr>
      <w:r>
        <w:rPr>
          <w:rFonts w:hint="eastAsia" w:ascii="微软雅黑" w:hAnsi="微软雅黑" w:eastAsia="微软雅黑"/>
          <w:szCs w:val="21"/>
        </w:rPr>
        <w:t>目前，夏老师每年会负责2~3个公司级的大项目，帮助公司在“供应链”方面不断优化流程和成本，提高运营效率。通过多年的工作经历和项目实施，熟悉整个供应链的流程和实际操作，对供应链管理有着深刻的认识和理解。</w:t>
      </w:r>
    </w:p>
    <w:p w14:paraId="5A5EE453">
      <w:pPr>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风格与特点：</w:t>
      </w:r>
    </w:p>
    <w:p w14:paraId="056A33A7">
      <w:pPr>
        <w:widowControl/>
        <w:adjustRightInd w:val="0"/>
        <w:snapToGrid w:val="0"/>
        <w:spacing w:line="276" w:lineRule="auto"/>
        <w:ind w:firstLine="420"/>
        <w:jc w:val="left"/>
        <w:rPr>
          <w:rFonts w:hint="eastAsia" w:ascii="微软雅黑" w:hAnsi="微软雅黑" w:eastAsia="微软雅黑"/>
          <w:szCs w:val="21"/>
        </w:rPr>
      </w:pPr>
      <w:r>
        <w:rPr>
          <w:rFonts w:hint="eastAsia" w:ascii="微软雅黑" w:hAnsi="微软雅黑" w:eastAsia="微软雅黑"/>
          <w:szCs w:val="21"/>
        </w:rPr>
        <w:t>夏老师在加拿大工作多年，从事软件开发、运营数据挖掘等工作，对于供应链的高科技管理手段有第一手的经验与理解。夏老师理论基础扎实、专业经验丰富、工作履历全面、业务思想超前，能够融会贯通多部门之间的操作与联系，跨越制造、零售、IT服务等多个行业的界限，深入浅出地讲解各种先进供应链操作的应用与理论要领。由于履历丰富，夏老师不仅熟悉世界500强企业的工作环境，也深刻地了解中小民营企业、互联网企业的运营特征，课程内容贴近企业现实、切合学员个人发展的实际诉求。</w:t>
      </w:r>
    </w:p>
    <w:p w14:paraId="564C3C92">
      <w:pPr>
        <w:widowControl/>
        <w:adjustRightInd w:val="0"/>
        <w:snapToGrid w:val="0"/>
        <w:spacing w:line="276" w:lineRule="auto"/>
        <w:jc w:val="left"/>
        <w:rPr>
          <w:rFonts w:hint="eastAsia" w:ascii="微软雅黑" w:hAnsi="微软雅黑" w:eastAsia="微软雅黑" w:cs="宋体"/>
          <w:b/>
          <w:color w:val="C00000"/>
          <w:kern w:val="0"/>
          <w:sz w:val="24"/>
          <w:szCs w:val="24"/>
        </w:rPr>
      </w:pPr>
      <w:r>
        <w:rPr>
          <w:rFonts w:hint="eastAsia" w:ascii="微软雅黑" w:hAnsi="微软雅黑" w:eastAsia="微软雅黑" w:cs="宋体"/>
          <w:b/>
          <w:color w:val="C00000"/>
          <w:kern w:val="0"/>
          <w:sz w:val="24"/>
          <w:szCs w:val="24"/>
        </w:rPr>
        <w:t>咨询项目：</w:t>
      </w:r>
    </w:p>
    <w:p w14:paraId="45BCA201">
      <w:pPr>
        <w:widowControl/>
        <w:adjustRightInd w:val="0"/>
        <w:snapToGrid w:val="0"/>
        <w:spacing w:line="276" w:lineRule="auto"/>
        <w:ind w:firstLine="420"/>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作为培训讲师和咨询师，夏老师曾为鱼跃医疗、上海大众、华晨宝马、福特马自达、马牌轮胎、上海医药集团、德尔格医疗、贝朗医疗、可口可乐、阿里巴巴、食行生鲜、台湾冠捷（AOC）集团、厦门太古飞机维修公司、金润万家、阿特拉斯等知名国内外企业主持过的多个培训和咨询项目。</w:t>
      </w:r>
    </w:p>
    <w:p w14:paraId="709FC897">
      <w:pPr>
        <w:widowControl/>
        <w:adjustRightInd w:val="0"/>
        <w:snapToGrid w:val="0"/>
        <w:spacing w:line="276" w:lineRule="auto"/>
        <w:jc w:val="left"/>
        <w:rPr>
          <w:rFonts w:hint="eastAsia" w:ascii="微软雅黑" w:hAnsi="微软雅黑" w:eastAsia="微软雅黑" w:cs="宋体"/>
          <w:color w:val="000000"/>
          <w:kern w:val="0"/>
          <w:szCs w:val="21"/>
        </w:rPr>
      </w:pPr>
      <w:r>
        <w:rPr>
          <w:rFonts w:hint="eastAsia" w:ascii="微软雅黑" w:hAnsi="微软雅黑" w:eastAsia="微软雅黑" w:cs="宋体"/>
          <w:b/>
          <w:color w:val="C00000"/>
          <w:kern w:val="0"/>
          <w:sz w:val="24"/>
          <w:szCs w:val="24"/>
        </w:rPr>
        <w:t>主讲课程：</w:t>
      </w:r>
      <w:r>
        <w:rPr>
          <w:rFonts w:hint="eastAsia" w:ascii="微软雅黑" w:hAnsi="微软雅黑" w:eastAsia="微软雅黑" w:cs="宋体"/>
          <w:color w:val="000000"/>
          <w:kern w:val="0"/>
          <w:szCs w:val="21"/>
        </w:rPr>
        <w:t>《CPSM模块二：供应管理整合》、《采购人员核心技能提升训练》、《S</w:t>
      </w:r>
      <w:r>
        <w:rPr>
          <w:rFonts w:ascii="微软雅黑" w:hAnsi="微软雅黑" w:eastAsia="微软雅黑" w:cs="宋体"/>
          <w:color w:val="000000"/>
          <w:kern w:val="0"/>
          <w:szCs w:val="21"/>
        </w:rPr>
        <w:t>CMP</w:t>
      </w:r>
      <w:r>
        <w:rPr>
          <w:rFonts w:hint="eastAsia" w:ascii="微软雅黑" w:hAnsi="微软雅黑" w:eastAsia="微软雅黑" w:cs="宋体"/>
          <w:color w:val="000000"/>
          <w:kern w:val="0"/>
          <w:szCs w:val="21"/>
        </w:rPr>
        <w:t>：M2供应链管理规划》、《敏捷供应链与物流管理》、《采购谈判策略与技巧》、《PMC需求预测、生产计划与物料控制》、《供应链S&amp;OP生产计划与物料控制PMC》、《供应商选择评估与管理》、《供应、生产、销售、物流一体化》、《采购订单、供应商交期与库存管理》、《现代仓储管理与库存控制》</w:t>
      </w:r>
    </w:p>
    <w:p w14:paraId="3CDF4CF4">
      <w:pPr>
        <w:widowControl/>
        <w:adjustRightInd w:val="0"/>
        <w:snapToGrid w:val="0"/>
        <w:spacing w:line="276" w:lineRule="auto"/>
        <w:rPr>
          <w:rFonts w:hint="eastAsia" w:ascii="微软雅黑" w:hAnsi="微软雅黑" w:eastAsia="微软雅黑"/>
          <w:szCs w:val="21"/>
        </w:rPr>
      </w:pPr>
    </w:p>
    <w:p w14:paraId="5D980F78">
      <w:pPr>
        <w:widowControl/>
        <w:adjustRightInd w:val="0"/>
        <w:snapToGrid w:val="0"/>
        <w:spacing w:line="276" w:lineRule="auto"/>
        <w:rPr>
          <w:rFonts w:hint="eastAsia" w:ascii="微软雅黑" w:hAnsi="微软雅黑" w:eastAsia="微软雅黑"/>
          <w:szCs w:val="21"/>
        </w:rPr>
      </w:pPr>
    </w:p>
    <w:p w14:paraId="26EA1533">
      <w:pPr>
        <w:widowControl/>
        <w:adjustRightInd w:val="0"/>
        <w:snapToGrid w:val="0"/>
        <w:spacing w:line="276" w:lineRule="auto"/>
        <w:rPr>
          <w:rFonts w:hint="eastAsia" w:ascii="微软雅黑" w:hAnsi="微软雅黑" w:eastAsia="微软雅黑" w:cs="宋体"/>
          <w:b/>
          <w:color w:val="C00000"/>
          <w:kern w:val="0"/>
          <w:sz w:val="32"/>
          <w:szCs w:val="24"/>
        </w:rPr>
      </w:pPr>
    </w:p>
    <w:p w14:paraId="6885E5BB"/>
    <w:sectPr>
      <w:headerReference r:id="rId3" w:type="default"/>
      <w:footerReference r:id="rId4" w:type="default"/>
      <w:type w:val="continuous"/>
      <w:pgSz w:w="11906" w:h="16838"/>
      <w:pgMar w:top="1440" w:right="1080" w:bottom="1440" w:left="1080" w:header="794"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C12BF">
    <w:pPr>
      <w:pStyle w:val="2"/>
      <w:jc w:val="center"/>
      <w:rPr>
        <w:lang w:val="fr-FR"/>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641E">
    <w:pPr>
      <w:pStyle w:val="3"/>
      <w:jc w:val="both"/>
    </w:pPr>
  </w:p>
  <w:p w14:paraId="7020C576">
    <w:pPr>
      <w:pStyle w:val="3"/>
      <w:jc w:val="both"/>
    </w:pPr>
  </w:p>
  <w:p w14:paraId="334FE27E">
    <w:pPr>
      <w:pStyle w:val="3"/>
      <w:tabs>
        <w:tab w:val="left" w:pos="390"/>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1295E"/>
    <w:multiLevelType w:val="multilevel"/>
    <w:tmpl w:val="279129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F466D46"/>
    <w:multiLevelType w:val="multilevel"/>
    <w:tmpl w:val="4F466D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C144C9"/>
    <w:multiLevelType w:val="multilevel"/>
    <w:tmpl w:val="57C144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A3"/>
    <w:rsid w:val="00002BC6"/>
    <w:rsid w:val="000173E4"/>
    <w:rsid w:val="00021EF1"/>
    <w:rsid w:val="000627BA"/>
    <w:rsid w:val="00071C56"/>
    <w:rsid w:val="00083ED4"/>
    <w:rsid w:val="000A112E"/>
    <w:rsid w:val="000A392D"/>
    <w:rsid w:val="000B44B1"/>
    <w:rsid w:val="000B4A04"/>
    <w:rsid w:val="000C33E6"/>
    <w:rsid w:val="000F4351"/>
    <w:rsid w:val="00101967"/>
    <w:rsid w:val="00102B76"/>
    <w:rsid w:val="001069A4"/>
    <w:rsid w:val="00107A6F"/>
    <w:rsid w:val="00134B12"/>
    <w:rsid w:val="00145464"/>
    <w:rsid w:val="001606E1"/>
    <w:rsid w:val="001622F5"/>
    <w:rsid w:val="00164A6A"/>
    <w:rsid w:val="001A3CEE"/>
    <w:rsid w:val="001B5862"/>
    <w:rsid w:val="001B70C6"/>
    <w:rsid w:val="001D12A5"/>
    <w:rsid w:val="001E5E6A"/>
    <w:rsid w:val="001F1AD9"/>
    <w:rsid w:val="001F6D43"/>
    <w:rsid w:val="002175C8"/>
    <w:rsid w:val="00241BA6"/>
    <w:rsid w:val="002516BF"/>
    <w:rsid w:val="00251D5D"/>
    <w:rsid w:val="00255FD1"/>
    <w:rsid w:val="00261A3B"/>
    <w:rsid w:val="0026298F"/>
    <w:rsid w:val="002750B4"/>
    <w:rsid w:val="002776D0"/>
    <w:rsid w:val="002A16D8"/>
    <w:rsid w:val="002A19A3"/>
    <w:rsid w:val="0031479A"/>
    <w:rsid w:val="003306F1"/>
    <w:rsid w:val="00371CF4"/>
    <w:rsid w:val="003746FB"/>
    <w:rsid w:val="00384187"/>
    <w:rsid w:val="00384686"/>
    <w:rsid w:val="003A1EC2"/>
    <w:rsid w:val="003A76E5"/>
    <w:rsid w:val="003B76A1"/>
    <w:rsid w:val="003D1ED1"/>
    <w:rsid w:val="003D717B"/>
    <w:rsid w:val="003E6A42"/>
    <w:rsid w:val="003E78DF"/>
    <w:rsid w:val="003F3287"/>
    <w:rsid w:val="00400A2F"/>
    <w:rsid w:val="00401FB8"/>
    <w:rsid w:val="00416601"/>
    <w:rsid w:val="00420E18"/>
    <w:rsid w:val="00424E37"/>
    <w:rsid w:val="004309CD"/>
    <w:rsid w:val="00432BF6"/>
    <w:rsid w:val="0044672A"/>
    <w:rsid w:val="00471EC3"/>
    <w:rsid w:val="00490CD2"/>
    <w:rsid w:val="00496260"/>
    <w:rsid w:val="004C446E"/>
    <w:rsid w:val="004E00AD"/>
    <w:rsid w:val="004E463B"/>
    <w:rsid w:val="004F081E"/>
    <w:rsid w:val="004F5715"/>
    <w:rsid w:val="005004AF"/>
    <w:rsid w:val="00505AE0"/>
    <w:rsid w:val="00515CAE"/>
    <w:rsid w:val="005321DD"/>
    <w:rsid w:val="005340BA"/>
    <w:rsid w:val="00536DB1"/>
    <w:rsid w:val="005520DC"/>
    <w:rsid w:val="0055517B"/>
    <w:rsid w:val="00570860"/>
    <w:rsid w:val="00584644"/>
    <w:rsid w:val="005B52E3"/>
    <w:rsid w:val="005B5B12"/>
    <w:rsid w:val="005C25DA"/>
    <w:rsid w:val="005C48F0"/>
    <w:rsid w:val="005C78A7"/>
    <w:rsid w:val="005D1EF6"/>
    <w:rsid w:val="005E3A9C"/>
    <w:rsid w:val="00607A59"/>
    <w:rsid w:val="0061204A"/>
    <w:rsid w:val="00635948"/>
    <w:rsid w:val="006359B3"/>
    <w:rsid w:val="0065484B"/>
    <w:rsid w:val="006655E9"/>
    <w:rsid w:val="006828A4"/>
    <w:rsid w:val="00682E9E"/>
    <w:rsid w:val="00683B42"/>
    <w:rsid w:val="006A2218"/>
    <w:rsid w:val="006A55B7"/>
    <w:rsid w:val="006C04A3"/>
    <w:rsid w:val="006C07F4"/>
    <w:rsid w:val="006D7571"/>
    <w:rsid w:val="006F5E7F"/>
    <w:rsid w:val="007059EA"/>
    <w:rsid w:val="00721610"/>
    <w:rsid w:val="00736ACF"/>
    <w:rsid w:val="007650E1"/>
    <w:rsid w:val="0076690E"/>
    <w:rsid w:val="0079120E"/>
    <w:rsid w:val="00791944"/>
    <w:rsid w:val="007A185C"/>
    <w:rsid w:val="007A64C9"/>
    <w:rsid w:val="007D14D0"/>
    <w:rsid w:val="007F1104"/>
    <w:rsid w:val="007F649A"/>
    <w:rsid w:val="008167DB"/>
    <w:rsid w:val="0082379D"/>
    <w:rsid w:val="00876504"/>
    <w:rsid w:val="0088365F"/>
    <w:rsid w:val="008A27D3"/>
    <w:rsid w:val="008B0F0C"/>
    <w:rsid w:val="008B1068"/>
    <w:rsid w:val="008B2DC2"/>
    <w:rsid w:val="008D07F9"/>
    <w:rsid w:val="00913A6F"/>
    <w:rsid w:val="00923EE9"/>
    <w:rsid w:val="00931B09"/>
    <w:rsid w:val="009501A1"/>
    <w:rsid w:val="0095034C"/>
    <w:rsid w:val="009638D5"/>
    <w:rsid w:val="00975E7B"/>
    <w:rsid w:val="00984D51"/>
    <w:rsid w:val="00993897"/>
    <w:rsid w:val="00994B3F"/>
    <w:rsid w:val="009953B9"/>
    <w:rsid w:val="0099768E"/>
    <w:rsid w:val="009B7A0B"/>
    <w:rsid w:val="009D4549"/>
    <w:rsid w:val="009D49F6"/>
    <w:rsid w:val="00A15E57"/>
    <w:rsid w:val="00A21921"/>
    <w:rsid w:val="00A5705C"/>
    <w:rsid w:val="00A64C11"/>
    <w:rsid w:val="00A767DA"/>
    <w:rsid w:val="00A863B7"/>
    <w:rsid w:val="00AB1EA4"/>
    <w:rsid w:val="00AD7E1E"/>
    <w:rsid w:val="00B1527C"/>
    <w:rsid w:val="00B43B7D"/>
    <w:rsid w:val="00B46B5A"/>
    <w:rsid w:val="00B8260A"/>
    <w:rsid w:val="00B94EC9"/>
    <w:rsid w:val="00BA5174"/>
    <w:rsid w:val="00BF1727"/>
    <w:rsid w:val="00BF6AE6"/>
    <w:rsid w:val="00C0062A"/>
    <w:rsid w:val="00C02B5B"/>
    <w:rsid w:val="00C04A6C"/>
    <w:rsid w:val="00C0770B"/>
    <w:rsid w:val="00C32618"/>
    <w:rsid w:val="00C32DBF"/>
    <w:rsid w:val="00C64EE5"/>
    <w:rsid w:val="00C70CB1"/>
    <w:rsid w:val="00C7605E"/>
    <w:rsid w:val="00C76D8B"/>
    <w:rsid w:val="00C7738E"/>
    <w:rsid w:val="00C86CC8"/>
    <w:rsid w:val="00CA5BBF"/>
    <w:rsid w:val="00CC40C7"/>
    <w:rsid w:val="00CD7869"/>
    <w:rsid w:val="00CE058D"/>
    <w:rsid w:val="00CF7372"/>
    <w:rsid w:val="00D00AB9"/>
    <w:rsid w:val="00D0573B"/>
    <w:rsid w:val="00D13EA2"/>
    <w:rsid w:val="00D20CBB"/>
    <w:rsid w:val="00D20DA6"/>
    <w:rsid w:val="00D278F1"/>
    <w:rsid w:val="00D6266F"/>
    <w:rsid w:val="00D62A05"/>
    <w:rsid w:val="00D6761D"/>
    <w:rsid w:val="00D74C55"/>
    <w:rsid w:val="00D9002F"/>
    <w:rsid w:val="00DE4F09"/>
    <w:rsid w:val="00DE7C16"/>
    <w:rsid w:val="00DF1338"/>
    <w:rsid w:val="00DF2248"/>
    <w:rsid w:val="00DF4191"/>
    <w:rsid w:val="00E24F0F"/>
    <w:rsid w:val="00E42139"/>
    <w:rsid w:val="00E42D70"/>
    <w:rsid w:val="00E51AE0"/>
    <w:rsid w:val="00E52B5D"/>
    <w:rsid w:val="00E65A0B"/>
    <w:rsid w:val="00E71F62"/>
    <w:rsid w:val="00E81D12"/>
    <w:rsid w:val="00E87069"/>
    <w:rsid w:val="00EB0444"/>
    <w:rsid w:val="00EB20C1"/>
    <w:rsid w:val="00EC64EA"/>
    <w:rsid w:val="00EE7F6E"/>
    <w:rsid w:val="00EF6A40"/>
    <w:rsid w:val="00F10CE7"/>
    <w:rsid w:val="00F20CF3"/>
    <w:rsid w:val="00F228E4"/>
    <w:rsid w:val="00F31FC3"/>
    <w:rsid w:val="00F40343"/>
    <w:rsid w:val="00F454BE"/>
    <w:rsid w:val="00F62CBE"/>
    <w:rsid w:val="00F83E43"/>
    <w:rsid w:val="00F9040B"/>
    <w:rsid w:val="00FA137E"/>
    <w:rsid w:val="00FA50A3"/>
    <w:rsid w:val="00FB3638"/>
    <w:rsid w:val="00FD5C5C"/>
    <w:rsid w:val="66CE0F95"/>
    <w:rsid w:val="6D3B7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343E4-D7AC-5347-949F-F303CFFB9B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2414</Words>
  <Characters>2571</Characters>
  <Lines>21</Lines>
  <Paragraphs>6</Paragraphs>
  <TotalTime>109</TotalTime>
  <ScaleCrop>false</ScaleCrop>
  <LinksUpToDate>false</LinksUpToDate>
  <CharactersWithSpaces>2598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2020-11-09T02:30:00Z</dcterms:created>
  <dc:creator>PC</dc:creator>
  <cp:lastModifiedBy>Yan</cp:lastModifiedBy>
  <dcterms:modified xsi:type="dcterms:W3CDTF">2025-09-03T08:02:42Z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eyJoZGlkIjoiYjgwMTUwZjk3YjY4NWY1ZGM3ZWRiNjcyZTMwMmI2NzgiLCJ1c2VySWQiOiIxMDgxNjIyNjk3In0=</vt:lpwstr>
  </property>
  <property fmtid="{D5CDD505-2E9C-101B-9397-08002B2CF9AE}" pid="3" name="KSOProductBuildVer">
    <vt:lpwstr>2052-12.1.0.22529</vt:lpwstr>
  </property>
  <property fmtid="{D5CDD505-2E9C-101B-9397-08002B2CF9AE}" pid="4" name="ICV">
    <vt:lpwstr>B67524602B7F459788324C484023165E_13</vt:lpwstr>
  </property>
</Properties>
</file>